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7BB" w:rsidRPr="00476040" w:rsidRDefault="006B3E90">
      <w:pPr>
        <w:rPr>
          <w:rFonts w:ascii="Times New Roman" w:hAnsi="Times New Roman" w:cs="Times New Roman"/>
          <w:sz w:val="28"/>
          <w:szCs w:val="28"/>
        </w:rPr>
      </w:pPr>
      <w:r w:rsidRPr="00476040">
        <w:fldChar w:fldCharType="begin"/>
      </w:r>
      <w:r w:rsidRPr="00476040">
        <w:rPr>
          <w:rFonts w:ascii="Times New Roman" w:hAnsi="Times New Roman" w:cs="Times New Roman"/>
          <w:sz w:val="28"/>
          <w:szCs w:val="28"/>
        </w:rPr>
        <w:instrText xml:space="preserve"> HYPERLINK "https://www.sciencedirect.com/science/article/abs/pii/S0753332216326932" </w:instrText>
      </w:r>
      <w:r w:rsidRPr="00476040">
        <w:fldChar w:fldCharType="separate"/>
      </w:r>
      <w:r w:rsidR="00E86B26" w:rsidRPr="00476040">
        <w:rPr>
          <w:rStyle w:val="a3"/>
          <w:rFonts w:ascii="Times New Roman" w:hAnsi="Times New Roman" w:cs="Times New Roman"/>
          <w:sz w:val="28"/>
          <w:szCs w:val="28"/>
        </w:rPr>
        <w:t>https://www.sciencedirect.com/science/article/abs/pii/S0753332216326932</w:t>
      </w:r>
      <w:r w:rsidRPr="00476040">
        <w:rPr>
          <w:rStyle w:val="a3"/>
          <w:rFonts w:ascii="Times New Roman" w:hAnsi="Times New Roman" w:cs="Times New Roman"/>
          <w:sz w:val="28"/>
          <w:szCs w:val="28"/>
        </w:rPr>
        <w:fldChar w:fldCharType="end"/>
      </w:r>
    </w:p>
    <w:p w:rsidR="00E86B26" w:rsidRPr="00476040" w:rsidRDefault="00E86B26" w:rsidP="00E86B26">
      <w:pPr>
        <w:spacing w:after="0" w:line="240" w:lineRule="auto"/>
        <w:rPr>
          <w:rFonts w:ascii="Times New Roman" w:eastAsia="Times New Roman" w:hAnsi="Times New Roman" w:cs="Times New Roman"/>
          <w:color w:val="2E2E2E"/>
          <w:sz w:val="28"/>
          <w:szCs w:val="28"/>
          <w:lang w:eastAsia="ru-RU"/>
        </w:rPr>
      </w:pPr>
      <w:r w:rsidRPr="00476040">
        <w:rPr>
          <w:rFonts w:ascii="Times New Roman" w:eastAsia="Times New Roman" w:hAnsi="Times New Roman" w:cs="Times New Roman"/>
          <w:noProof/>
          <w:color w:val="007398"/>
          <w:sz w:val="28"/>
          <w:szCs w:val="28"/>
          <w:lang w:eastAsia="ru-RU"/>
        </w:rPr>
        <mc:AlternateContent>
          <mc:Choice Requires="wps">
            <w:drawing>
              <wp:inline distT="0" distB="0" distL="0" distR="0" wp14:anchorId="630D025D" wp14:editId="091BD465">
                <wp:extent cx="304800" cy="304800"/>
                <wp:effectExtent l="0" t="0" r="0" b="0"/>
                <wp:docPr id="3" name="AutoShape 3" descr="Elsevi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8B7769" id="AutoShape 3" o:spid="_x0000_s1026" alt="Elsevie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wPvAIAAMgFAAAOAAAAZHJzL2Uyb0RvYy54bWysVNtu2zAMfR+wfxD07vpS5WKjTtHF8TCg&#10;2wp0+wDFlmNhtqRJSpxu2L+PkpM0aV+GbXoQJFI+PCSPeXO77zu0Y9pwKXIcX0UYMVHJmotNjr9+&#10;KYM5RsZSUdNOCpbjJ2bw7eLtm5tBZSyRrexqphGACJMNKsettSoLQ1O1rKfmSiomwNlI3VMLV70J&#10;a00HQO+7MImiaThIXSstK2YMWIvRiRcev2lYZT83jWEWdTkGbtbv2u9rt4eLG5ptNFUtrw406F+w&#10;6CkXEPQEVVBL0VbzV1A9r7Q0srFXlexD2TS8Yj4HyCaOXmTz2FLFfC5QHKNOZTL/D7b6tHvQiNc5&#10;vsZI0B5adLe10kdGYKqZqaBcq86wHWfa1WtQJoPPHtWDdhkbdS+rbwYJuWyp2LA7o6DqoAXAO5q0&#10;lkPLaA3EYwcRXmC4iwE0tB4+yhoYUGDgq7lvdO9iQJ3Q3jft6dQ0treoAuN1ROYRtLYC1+HsItDs&#10;+LHSxr5nskfukGMN7Dw43d0bOz49PnGxhCx514GdZp24MADmaIHQ8KnzORK+zT/TKF3NV3MSkGS6&#10;CkhUFMFduSTBtIxnk+K6WC6L+JeLG5Os5XXNhAtzlFxM/qylB/GPYjmJzsiO1w7OUTJ6s152Gu0o&#10;SL70y5ccPM/Pwksavl6Qy4uU4oRE75I0KKfzWUBKMgnSWTQPojh9l04jkpKivEzpngv27ymhIcfp&#10;JJn4Lp2RfpFb5Nfr3GjWcwtDpeN9jkEasNwjmjkFrkTtz5bybjyflcLRfy4FtPvYaK9XJ9FR/WtZ&#10;P4FctQQ5gfJg/MGhlfoHRgOMkhyb71uqGUbdBwGST2NC3OzxFzKZJXDR5571uYeKCqBybDEaj0s7&#10;zqut0nzTQqTYF0ZI96M23EvY/UIjq8PPBePCZ3IYbW4end/9q+cBvPgN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k3F8D7wCAADI&#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E86B26" w:rsidRPr="00AB3A01" w:rsidRDefault="00AB3A01" w:rsidP="00E86B26">
      <w:pPr>
        <w:spacing w:after="0" w:line="240" w:lineRule="auto"/>
        <w:textAlignment w:val="center"/>
        <w:outlineLvl w:val="1"/>
        <w:rPr>
          <w:rFonts w:ascii="Arial" w:eastAsia="Times New Roman" w:hAnsi="Arial" w:cs="Arial"/>
          <w:b/>
          <w:bCs/>
          <w:color w:val="2E2E2E"/>
          <w:sz w:val="36"/>
          <w:szCs w:val="36"/>
          <w:lang w:val="en-US" w:eastAsia="ru-RU"/>
        </w:rPr>
      </w:pPr>
      <w:hyperlink r:id="rId4" w:tooltip="Go to Biomedicine &amp; Pharmacotherapy on ScienceDirect" w:history="1">
        <w:r w:rsidR="00E86B26" w:rsidRPr="00AB3A01">
          <w:rPr>
            <w:rFonts w:ascii="Arial" w:eastAsia="Times New Roman" w:hAnsi="Arial" w:cs="Arial"/>
            <w:color w:val="2E2E2E"/>
            <w:sz w:val="36"/>
            <w:szCs w:val="36"/>
            <w:lang w:val="en-US" w:eastAsia="ru-RU"/>
          </w:rPr>
          <w:t>Biomedicine &amp; Pharmacotherapy</w:t>
        </w:r>
      </w:hyperlink>
    </w:p>
    <w:p w:rsidR="00E86B26" w:rsidRPr="00AB3A01" w:rsidRDefault="00AB3A01" w:rsidP="00E86B26">
      <w:pPr>
        <w:spacing w:after="100" w:line="240" w:lineRule="auto"/>
        <w:textAlignment w:val="center"/>
        <w:rPr>
          <w:rFonts w:ascii="Arial" w:eastAsia="Times New Roman" w:hAnsi="Arial" w:cs="Arial"/>
          <w:color w:val="2E2E2E"/>
          <w:sz w:val="30"/>
          <w:szCs w:val="30"/>
          <w:lang w:val="en-US" w:eastAsia="ru-RU"/>
        </w:rPr>
      </w:pPr>
      <w:hyperlink r:id="rId5" w:tooltip="Go to table of contents for this volume/issue" w:history="1">
        <w:r w:rsidR="00E86B26" w:rsidRPr="00AB3A01">
          <w:rPr>
            <w:rFonts w:ascii="Arial" w:eastAsia="Times New Roman" w:hAnsi="Arial" w:cs="Arial"/>
            <w:color w:val="007398"/>
            <w:sz w:val="30"/>
            <w:szCs w:val="30"/>
            <w:lang w:val="en-US" w:eastAsia="ru-RU"/>
          </w:rPr>
          <w:t>Volume 90</w:t>
        </w:r>
      </w:hyperlink>
      <w:r w:rsidR="00E86B26" w:rsidRPr="00AB3A01">
        <w:rPr>
          <w:rFonts w:ascii="Arial" w:eastAsia="Times New Roman" w:hAnsi="Arial" w:cs="Arial"/>
          <w:color w:val="2E2E2E"/>
          <w:sz w:val="30"/>
          <w:szCs w:val="30"/>
          <w:lang w:val="en-US" w:eastAsia="ru-RU"/>
        </w:rPr>
        <w:t>, </w:t>
      </w:r>
      <w:bookmarkStart w:id="0" w:name="_GoBack"/>
      <w:bookmarkEnd w:id="0"/>
      <w:r w:rsidR="00E86B26" w:rsidRPr="00AB3A01">
        <w:rPr>
          <w:rFonts w:ascii="Arial" w:eastAsia="Times New Roman" w:hAnsi="Arial" w:cs="Arial"/>
          <w:color w:val="2E2E2E"/>
          <w:sz w:val="30"/>
          <w:szCs w:val="30"/>
          <w:lang w:val="en-US" w:eastAsia="ru-RU"/>
        </w:rPr>
        <w:t>June 2017, Pages 608-614</w:t>
      </w:r>
    </w:p>
    <w:p w:rsidR="00E86B26" w:rsidRPr="00E86B26" w:rsidRDefault="00E86B26" w:rsidP="00E86B26">
      <w:pPr>
        <w:spacing w:after="0" w:line="240" w:lineRule="auto"/>
        <w:jc w:val="right"/>
        <w:textAlignment w:val="top"/>
        <w:rPr>
          <w:rFonts w:ascii="Arial" w:eastAsia="Times New Roman" w:hAnsi="Arial" w:cs="Arial"/>
          <w:color w:val="2E2E2E"/>
          <w:sz w:val="30"/>
          <w:szCs w:val="30"/>
          <w:lang w:eastAsia="ru-RU"/>
        </w:rPr>
      </w:pPr>
      <w:r w:rsidRPr="00E86B26">
        <w:rPr>
          <w:rFonts w:ascii="Arial" w:eastAsia="Times New Roman" w:hAnsi="Arial" w:cs="Arial"/>
          <w:noProof/>
          <w:color w:val="007398"/>
          <w:sz w:val="30"/>
          <w:szCs w:val="30"/>
          <w:lang w:eastAsia="ru-RU"/>
        </w:rPr>
        <w:drawing>
          <wp:inline distT="0" distB="0" distL="0" distR="0" wp14:anchorId="05209B61" wp14:editId="46CA60EB">
            <wp:extent cx="1066800" cy="1428750"/>
            <wp:effectExtent l="0" t="0" r="0" b="0"/>
            <wp:docPr id="1" name="Рисунок 1" descr="Biomedicine &amp; Pharmacotherapy">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omedicine &amp; Pharmacotherap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0" cy="1428750"/>
                    </a:xfrm>
                    <a:prstGeom prst="rect">
                      <a:avLst/>
                    </a:prstGeom>
                    <a:noFill/>
                    <a:ln>
                      <a:noFill/>
                    </a:ln>
                  </pic:spPr>
                </pic:pic>
              </a:graphicData>
            </a:graphic>
          </wp:inline>
        </w:drawing>
      </w:r>
    </w:p>
    <w:p w:rsidR="00E86B26" w:rsidRPr="00E86B26" w:rsidRDefault="00E86B26" w:rsidP="00E86B26">
      <w:pPr>
        <w:spacing w:beforeAutospacing="1" w:after="0" w:afterAutospacing="1" w:line="330" w:lineRule="atLeast"/>
        <w:outlineLvl w:val="0"/>
        <w:rPr>
          <w:rFonts w:ascii="Times New Roman" w:eastAsia="Times New Roman" w:hAnsi="Times New Roman" w:cs="Times New Roman"/>
          <w:b/>
          <w:bCs/>
          <w:color w:val="737373"/>
          <w:kern w:val="36"/>
          <w:sz w:val="20"/>
          <w:szCs w:val="20"/>
          <w:lang w:val="en-US" w:eastAsia="ru-RU"/>
        </w:rPr>
      </w:pPr>
      <w:r w:rsidRPr="00E86B26">
        <w:rPr>
          <w:rFonts w:ascii="Times New Roman" w:eastAsia="Times New Roman" w:hAnsi="Times New Roman" w:cs="Times New Roman"/>
          <w:b/>
          <w:bCs/>
          <w:color w:val="737373"/>
          <w:kern w:val="36"/>
          <w:sz w:val="20"/>
          <w:szCs w:val="20"/>
          <w:lang w:val="en-US" w:eastAsia="ru-RU"/>
        </w:rPr>
        <w:t>Original article</w:t>
      </w:r>
    </w:p>
    <w:p w:rsidR="00E86B26" w:rsidRPr="00E86B26" w:rsidRDefault="00E86B26" w:rsidP="00E86B26">
      <w:pPr>
        <w:spacing w:beforeAutospacing="1" w:after="0" w:afterAutospacing="1" w:line="240" w:lineRule="auto"/>
        <w:outlineLvl w:val="0"/>
        <w:rPr>
          <w:rFonts w:ascii="Times New Roman" w:eastAsia="Times New Roman" w:hAnsi="Times New Roman" w:cs="Times New Roman"/>
          <w:b/>
          <w:bCs/>
          <w:color w:val="2E2E2E"/>
          <w:kern w:val="36"/>
          <w:sz w:val="48"/>
          <w:szCs w:val="48"/>
          <w:lang w:val="en-US" w:eastAsia="ru-RU"/>
        </w:rPr>
      </w:pPr>
      <w:r w:rsidRPr="00E86B26">
        <w:rPr>
          <w:rFonts w:ascii="Times New Roman" w:eastAsia="Times New Roman" w:hAnsi="Times New Roman" w:cs="Times New Roman"/>
          <w:b/>
          <w:bCs/>
          <w:color w:val="2E2E2E"/>
          <w:kern w:val="36"/>
          <w:sz w:val="48"/>
          <w:szCs w:val="48"/>
          <w:lang w:val="en-US" w:eastAsia="ru-RU"/>
        </w:rPr>
        <w:t>Cerium dioxide nanoparticles possess anti-inflammatory properties in the conditions of the obesity-associated NAFLD in rats</w:t>
      </w:r>
    </w:p>
    <w:p w:rsidR="00E86B26" w:rsidRPr="00E86B26" w:rsidRDefault="00E86B26" w:rsidP="00E86B26">
      <w:pPr>
        <w:spacing w:after="0" w:line="240" w:lineRule="auto"/>
        <w:rPr>
          <w:rFonts w:ascii="Arial" w:eastAsia="Times New Roman" w:hAnsi="Arial" w:cs="Arial"/>
          <w:color w:val="2E2E2E"/>
          <w:sz w:val="30"/>
          <w:szCs w:val="30"/>
          <w:lang w:val="en-US" w:eastAsia="ru-RU"/>
        </w:rPr>
      </w:pPr>
      <w:r w:rsidRPr="00E86B26">
        <w:rPr>
          <w:rFonts w:ascii="Arial" w:eastAsia="Times New Roman" w:hAnsi="Arial" w:cs="Arial"/>
          <w:color w:val="2E2E2E"/>
          <w:sz w:val="30"/>
          <w:szCs w:val="30"/>
          <w:bdr w:val="none" w:sz="0" w:space="0" w:color="auto" w:frame="1"/>
          <w:lang w:val="en-US" w:eastAsia="ru-RU"/>
        </w:rPr>
        <w:t>Author links open overlay panel</w:t>
      </w:r>
      <w:r w:rsidRPr="00E86B26">
        <w:rPr>
          <w:rFonts w:ascii="Arial" w:eastAsia="Times New Roman" w:hAnsi="Arial" w:cs="Arial"/>
          <w:color w:val="2E2E2E"/>
          <w:sz w:val="30"/>
          <w:szCs w:val="30"/>
          <w:lang w:val="en-US" w:eastAsia="ru-RU"/>
        </w:rPr>
        <w:t>Nazarii Kobyliak </w:t>
      </w:r>
      <w:r w:rsidRPr="00E86B26">
        <w:rPr>
          <w:rFonts w:ascii="Arial" w:eastAsia="Times New Roman" w:hAnsi="Arial" w:cs="Arial"/>
          <w:color w:val="2E2E2E"/>
          <w:sz w:val="18"/>
          <w:szCs w:val="18"/>
          <w:vertAlign w:val="superscript"/>
          <w:lang w:val="en-US" w:eastAsia="ru-RU"/>
        </w:rPr>
        <w:t>a</w:t>
      </w:r>
      <w:r w:rsidRPr="00E86B26">
        <w:rPr>
          <w:rFonts w:ascii="Arial" w:eastAsia="Times New Roman" w:hAnsi="Arial" w:cs="Arial"/>
          <w:color w:val="2E2E2E"/>
          <w:sz w:val="30"/>
          <w:szCs w:val="30"/>
          <w:lang w:val="en-US" w:eastAsia="ru-RU"/>
        </w:rPr>
        <w:t>, Oleksandr Virchenko </w:t>
      </w:r>
      <w:r w:rsidRPr="00E86B26">
        <w:rPr>
          <w:rFonts w:ascii="Arial" w:eastAsia="Times New Roman" w:hAnsi="Arial" w:cs="Arial"/>
          <w:color w:val="2E2E2E"/>
          <w:sz w:val="18"/>
          <w:szCs w:val="18"/>
          <w:vertAlign w:val="superscript"/>
          <w:lang w:val="en-US" w:eastAsia="ru-RU"/>
        </w:rPr>
        <w:t>b</w:t>
      </w:r>
      <w:r w:rsidRPr="00E86B26">
        <w:rPr>
          <w:rFonts w:ascii="Arial" w:eastAsia="Times New Roman" w:hAnsi="Arial" w:cs="Arial"/>
          <w:color w:val="2E2E2E"/>
          <w:sz w:val="30"/>
          <w:szCs w:val="30"/>
          <w:lang w:val="en-US" w:eastAsia="ru-RU"/>
        </w:rPr>
        <w:t>, Tetyana Falalyeyeva </w:t>
      </w:r>
      <w:r w:rsidRPr="00E86B26">
        <w:rPr>
          <w:rFonts w:ascii="Arial" w:eastAsia="Times New Roman" w:hAnsi="Arial" w:cs="Arial"/>
          <w:color w:val="2E2E2E"/>
          <w:sz w:val="18"/>
          <w:szCs w:val="18"/>
          <w:vertAlign w:val="superscript"/>
          <w:lang w:val="en-US" w:eastAsia="ru-RU"/>
        </w:rPr>
        <w:t>c</w:t>
      </w:r>
      <w:r w:rsidRPr="00E86B26">
        <w:rPr>
          <w:rFonts w:ascii="Arial" w:eastAsia="Times New Roman" w:hAnsi="Arial" w:cs="Arial"/>
          <w:color w:val="2E2E2E"/>
          <w:sz w:val="30"/>
          <w:szCs w:val="30"/>
          <w:lang w:val="en-US" w:eastAsia="ru-RU"/>
        </w:rPr>
        <w:t>, Maryana Kondro </w:t>
      </w:r>
      <w:r w:rsidRPr="00E86B26">
        <w:rPr>
          <w:rFonts w:ascii="Arial" w:eastAsia="Times New Roman" w:hAnsi="Arial" w:cs="Arial"/>
          <w:color w:val="2E2E2E"/>
          <w:sz w:val="18"/>
          <w:szCs w:val="18"/>
          <w:vertAlign w:val="superscript"/>
          <w:lang w:val="en-US" w:eastAsia="ru-RU"/>
        </w:rPr>
        <w:t>d</w:t>
      </w:r>
      <w:r w:rsidRPr="00E86B26">
        <w:rPr>
          <w:rFonts w:ascii="Arial" w:eastAsia="Times New Roman" w:hAnsi="Arial" w:cs="Arial"/>
          <w:color w:val="2E2E2E"/>
          <w:sz w:val="30"/>
          <w:szCs w:val="30"/>
          <w:lang w:val="en-US" w:eastAsia="ru-RU"/>
        </w:rPr>
        <w:t>, Tetyana Beregova </w:t>
      </w:r>
      <w:r w:rsidRPr="00E86B26">
        <w:rPr>
          <w:rFonts w:ascii="Arial" w:eastAsia="Times New Roman" w:hAnsi="Arial" w:cs="Arial"/>
          <w:color w:val="2E2E2E"/>
          <w:sz w:val="18"/>
          <w:szCs w:val="18"/>
          <w:vertAlign w:val="superscript"/>
          <w:lang w:val="en-US" w:eastAsia="ru-RU"/>
        </w:rPr>
        <w:t>c</w:t>
      </w:r>
      <w:r w:rsidRPr="00E86B26">
        <w:rPr>
          <w:rFonts w:ascii="Arial" w:eastAsia="Times New Roman" w:hAnsi="Arial" w:cs="Arial"/>
          <w:color w:val="2E2E2E"/>
          <w:sz w:val="30"/>
          <w:szCs w:val="30"/>
          <w:lang w:val="en-US" w:eastAsia="ru-RU"/>
        </w:rPr>
        <w:t>, Petro Bodnar </w:t>
      </w:r>
      <w:r w:rsidRPr="00E86B26">
        <w:rPr>
          <w:rFonts w:ascii="Arial" w:eastAsia="Times New Roman" w:hAnsi="Arial" w:cs="Arial"/>
          <w:color w:val="2E2E2E"/>
          <w:sz w:val="18"/>
          <w:szCs w:val="18"/>
          <w:vertAlign w:val="superscript"/>
          <w:lang w:val="en-US" w:eastAsia="ru-RU"/>
        </w:rPr>
        <w:t>a</w:t>
      </w:r>
      <w:r w:rsidRPr="00E86B26">
        <w:rPr>
          <w:rFonts w:ascii="Arial" w:eastAsia="Times New Roman" w:hAnsi="Arial" w:cs="Arial"/>
          <w:color w:val="2E2E2E"/>
          <w:sz w:val="30"/>
          <w:szCs w:val="30"/>
          <w:lang w:val="en-US" w:eastAsia="ru-RU"/>
        </w:rPr>
        <w:t>, Oleksandr Shcherbakov </w:t>
      </w:r>
      <w:r w:rsidRPr="00E86B26">
        <w:rPr>
          <w:rFonts w:ascii="Arial" w:eastAsia="Times New Roman" w:hAnsi="Arial" w:cs="Arial"/>
          <w:color w:val="2E2E2E"/>
          <w:sz w:val="18"/>
          <w:szCs w:val="18"/>
          <w:vertAlign w:val="superscript"/>
          <w:lang w:val="en-US" w:eastAsia="ru-RU"/>
        </w:rPr>
        <w:t>e</w:t>
      </w:r>
      <w:r w:rsidRPr="00E86B26">
        <w:rPr>
          <w:rFonts w:ascii="Arial" w:eastAsia="Times New Roman" w:hAnsi="Arial" w:cs="Arial"/>
          <w:color w:val="2E2E2E"/>
          <w:sz w:val="30"/>
          <w:szCs w:val="30"/>
          <w:lang w:val="en-US" w:eastAsia="ru-RU"/>
        </w:rPr>
        <w:t>, Rostyslav Bubnov </w:t>
      </w:r>
      <w:r w:rsidRPr="00E86B26">
        <w:rPr>
          <w:rFonts w:ascii="Arial" w:eastAsia="Times New Roman" w:hAnsi="Arial" w:cs="Arial"/>
          <w:color w:val="2E2E2E"/>
          <w:sz w:val="18"/>
          <w:szCs w:val="18"/>
          <w:vertAlign w:val="superscript"/>
          <w:lang w:val="en-US" w:eastAsia="ru-RU"/>
        </w:rPr>
        <w:t>e</w:t>
      </w:r>
      <w:r w:rsidRPr="00E86B26">
        <w:rPr>
          <w:rFonts w:ascii="Arial" w:eastAsia="Times New Roman" w:hAnsi="Arial" w:cs="Arial"/>
          <w:color w:val="2E2E2E"/>
          <w:sz w:val="30"/>
          <w:szCs w:val="30"/>
          <w:lang w:val="en-US" w:eastAsia="ru-RU"/>
        </w:rPr>
        <w:t>, Martin Caprnda </w:t>
      </w:r>
      <w:r w:rsidRPr="00E86B26">
        <w:rPr>
          <w:rFonts w:ascii="Arial" w:eastAsia="Times New Roman" w:hAnsi="Arial" w:cs="Arial"/>
          <w:color w:val="2E2E2E"/>
          <w:sz w:val="18"/>
          <w:szCs w:val="18"/>
          <w:vertAlign w:val="superscript"/>
          <w:lang w:val="en-US" w:eastAsia="ru-RU"/>
        </w:rPr>
        <w:t>f</w:t>
      </w:r>
      <w:r w:rsidRPr="00E86B26">
        <w:rPr>
          <w:rFonts w:ascii="Arial" w:eastAsia="Times New Roman" w:hAnsi="Arial" w:cs="Arial"/>
          <w:color w:val="2E2E2E"/>
          <w:sz w:val="30"/>
          <w:szCs w:val="30"/>
          <w:lang w:val="en-US" w:eastAsia="ru-RU"/>
        </w:rPr>
        <w:t>, Delian Delev </w:t>
      </w:r>
      <w:r w:rsidRPr="00E86B26">
        <w:rPr>
          <w:rFonts w:ascii="Arial" w:eastAsia="Times New Roman" w:hAnsi="Arial" w:cs="Arial"/>
          <w:color w:val="2E2E2E"/>
          <w:sz w:val="18"/>
          <w:szCs w:val="18"/>
          <w:vertAlign w:val="superscript"/>
          <w:lang w:val="en-US" w:eastAsia="ru-RU"/>
        </w:rPr>
        <w:t>g</w:t>
      </w:r>
      <w:r w:rsidRPr="00E86B26">
        <w:rPr>
          <w:rFonts w:ascii="Arial" w:eastAsia="Times New Roman" w:hAnsi="Arial" w:cs="Arial"/>
          <w:color w:val="2E2E2E"/>
          <w:sz w:val="30"/>
          <w:szCs w:val="30"/>
          <w:lang w:val="en-US" w:eastAsia="ru-RU"/>
        </w:rPr>
        <w:t>, Jan Sabo </w:t>
      </w:r>
      <w:r w:rsidRPr="00E86B26">
        <w:rPr>
          <w:rFonts w:ascii="Arial" w:eastAsia="Times New Roman" w:hAnsi="Arial" w:cs="Arial"/>
          <w:color w:val="2E2E2E"/>
          <w:sz w:val="18"/>
          <w:szCs w:val="18"/>
          <w:vertAlign w:val="superscript"/>
          <w:lang w:val="en-US" w:eastAsia="ru-RU"/>
        </w:rPr>
        <w:t>h</w:t>
      </w:r>
      <w:r w:rsidRPr="00E86B26">
        <w:rPr>
          <w:rFonts w:ascii="Arial" w:eastAsia="Times New Roman" w:hAnsi="Arial" w:cs="Arial"/>
          <w:color w:val="2E2E2E"/>
          <w:sz w:val="30"/>
          <w:szCs w:val="30"/>
          <w:lang w:val="en-US" w:eastAsia="ru-RU"/>
        </w:rPr>
        <w:t>, Peter Kruzliak </w:t>
      </w:r>
      <w:r w:rsidRPr="00E86B26">
        <w:rPr>
          <w:rFonts w:ascii="Arial" w:eastAsia="Times New Roman" w:hAnsi="Arial" w:cs="Arial"/>
          <w:color w:val="2E2E2E"/>
          <w:sz w:val="18"/>
          <w:szCs w:val="18"/>
          <w:vertAlign w:val="superscript"/>
          <w:lang w:val="en-US" w:eastAsia="ru-RU"/>
        </w:rPr>
        <w:t>i</w:t>
      </w:r>
      <w:r w:rsidRPr="00E86B26">
        <w:rPr>
          <w:rFonts w:ascii="Arial" w:eastAsia="Times New Roman" w:hAnsi="Arial" w:cs="Arial"/>
          <w:color w:val="2E2E2E"/>
          <w:sz w:val="30"/>
          <w:szCs w:val="30"/>
          <w:lang w:val="en-US" w:eastAsia="ru-RU"/>
        </w:rPr>
        <w:t> </w:t>
      </w:r>
      <w:r w:rsidRPr="00E86B26">
        <w:rPr>
          <w:rFonts w:ascii="Arial" w:eastAsia="Times New Roman" w:hAnsi="Arial" w:cs="Arial"/>
          <w:color w:val="2E2E2E"/>
          <w:sz w:val="18"/>
          <w:szCs w:val="18"/>
          <w:vertAlign w:val="superscript"/>
          <w:lang w:val="en-US" w:eastAsia="ru-RU"/>
        </w:rPr>
        <w:t>j</w:t>
      </w:r>
      <w:r w:rsidRPr="00E86B26">
        <w:rPr>
          <w:rFonts w:ascii="Arial" w:eastAsia="Times New Roman" w:hAnsi="Arial" w:cs="Arial"/>
          <w:color w:val="2E2E2E"/>
          <w:sz w:val="30"/>
          <w:szCs w:val="30"/>
          <w:lang w:val="en-US" w:eastAsia="ru-RU"/>
        </w:rPr>
        <w:t> </w:t>
      </w:r>
      <w:r w:rsidRPr="00E86B26">
        <w:rPr>
          <w:rFonts w:ascii="Arial" w:eastAsia="Times New Roman" w:hAnsi="Arial" w:cs="Arial"/>
          <w:color w:val="2E2E2E"/>
          <w:sz w:val="18"/>
          <w:szCs w:val="18"/>
          <w:vertAlign w:val="superscript"/>
          <w:lang w:val="en-US" w:eastAsia="ru-RU"/>
        </w:rPr>
        <w:t>k</w:t>
      </w:r>
      <w:r w:rsidRPr="00E86B26">
        <w:rPr>
          <w:rFonts w:ascii="Arial" w:eastAsia="Times New Roman" w:hAnsi="Arial" w:cs="Arial"/>
          <w:color w:val="2E2E2E"/>
          <w:sz w:val="30"/>
          <w:szCs w:val="30"/>
          <w:lang w:val="en-US" w:eastAsia="ru-RU"/>
        </w:rPr>
        <w:t>, Luis Rodrigo </w:t>
      </w:r>
      <w:r w:rsidRPr="00E86B26">
        <w:rPr>
          <w:rFonts w:ascii="Arial" w:eastAsia="Times New Roman" w:hAnsi="Arial" w:cs="Arial"/>
          <w:color w:val="2E2E2E"/>
          <w:sz w:val="18"/>
          <w:szCs w:val="18"/>
          <w:vertAlign w:val="superscript"/>
          <w:lang w:val="en-US" w:eastAsia="ru-RU"/>
        </w:rPr>
        <w:t>l</w:t>
      </w:r>
      <w:r w:rsidRPr="00E86B26">
        <w:rPr>
          <w:rFonts w:ascii="Arial" w:eastAsia="Times New Roman" w:hAnsi="Arial" w:cs="Arial"/>
          <w:color w:val="2E2E2E"/>
          <w:sz w:val="30"/>
          <w:szCs w:val="30"/>
          <w:lang w:val="en-US" w:eastAsia="ru-RU"/>
        </w:rPr>
        <w:t>, Radka Opatrilova </w:t>
      </w:r>
      <w:r w:rsidRPr="00E86B26">
        <w:rPr>
          <w:rFonts w:ascii="Arial" w:eastAsia="Times New Roman" w:hAnsi="Arial" w:cs="Arial"/>
          <w:color w:val="2E2E2E"/>
          <w:sz w:val="18"/>
          <w:szCs w:val="18"/>
          <w:vertAlign w:val="superscript"/>
          <w:lang w:val="en-US" w:eastAsia="ru-RU"/>
        </w:rPr>
        <w:t>i</w:t>
      </w:r>
      <w:r w:rsidRPr="00E86B26">
        <w:rPr>
          <w:rFonts w:ascii="Arial" w:eastAsia="Times New Roman" w:hAnsi="Arial" w:cs="Arial"/>
          <w:color w:val="2E2E2E"/>
          <w:sz w:val="30"/>
          <w:szCs w:val="30"/>
          <w:lang w:val="en-US" w:eastAsia="ru-RU"/>
        </w:rPr>
        <w:t>, Mykola Spivak </w:t>
      </w:r>
      <w:r w:rsidRPr="00E86B26">
        <w:rPr>
          <w:rFonts w:ascii="Arial" w:eastAsia="Times New Roman" w:hAnsi="Arial" w:cs="Arial"/>
          <w:color w:val="2E2E2E"/>
          <w:sz w:val="18"/>
          <w:szCs w:val="18"/>
          <w:vertAlign w:val="superscript"/>
          <w:lang w:val="en-US" w:eastAsia="ru-RU"/>
        </w:rPr>
        <w:t>e</w:t>
      </w:r>
    </w:p>
    <w:p w:rsidR="00AB3A01" w:rsidRDefault="00AB3A01" w:rsidP="00E86B26">
      <w:pPr>
        <w:spacing w:after="0" w:line="240" w:lineRule="auto"/>
        <w:rPr>
          <w:lang w:val="en-US"/>
        </w:rPr>
      </w:pPr>
    </w:p>
    <w:p w:rsidR="00E86B26" w:rsidRPr="00E86B26" w:rsidRDefault="00AB3A01" w:rsidP="00E86B26">
      <w:pPr>
        <w:spacing w:after="0" w:line="240" w:lineRule="auto"/>
        <w:rPr>
          <w:rFonts w:ascii="Arial" w:eastAsia="Times New Roman" w:hAnsi="Arial" w:cs="Arial"/>
          <w:color w:val="2E2E2E"/>
          <w:sz w:val="24"/>
          <w:szCs w:val="24"/>
          <w:lang w:val="en-US" w:eastAsia="ru-RU"/>
        </w:rPr>
      </w:pPr>
      <w:hyperlink r:id="rId7" w:tgtFrame="_blank" w:tooltip="Persistent link using digital object identifier" w:history="1">
        <w:r w:rsidR="00E86B26" w:rsidRPr="00E86B26">
          <w:rPr>
            <w:rFonts w:ascii="Arial" w:eastAsia="Times New Roman" w:hAnsi="Arial" w:cs="Arial"/>
            <w:color w:val="007398"/>
            <w:sz w:val="24"/>
            <w:szCs w:val="24"/>
            <w:lang w:val="en-US" w:eastAsia="ru-RU"/>
          </w:rPr>
          <w:t>https://doi.org/10.1016/j.biopha.2017.03.099</w:t>
        </w:r>
      </w:hyperlink>
      <w:hyperlink r:id="rId8" w:tgtFrame="_blank" w:history="1">
        <w:r w:rsidR="00E86B26" w:rsidRPr="00E86B26">
          <w:rPr>
            <w:rFonts w:ascii="Arial" w:eastAsia="Times New Roman" w:hAnsi="Arial" w:cs="Arial"/>
            <w:color w:val="007398"/>
            <w:sz w:val="24"/>
            <w:szCs w:val="24"/>
            <w:lang w:val="en-US" w:eastAsia="ru-RU"/>
          </w:rPr>
          <w:t>Get rights and content</w:t>
        </w:r>
      </w:hyperlink>
    </w:p>
    <w:p w:rsidR="00AB3A01" w:rsidRDefault="00AB3A01" w:rsidP="00E86B26">
      <w:pPr>
        <w:spacing w:before="100" w:beforeAutospacing="1" w:after="100" w:afterAutospacing="1" w:line="240" w:lineRule="auto"/>
        <w:outlineLvl w:val="1"/>
        <w:rPr>
          <w:rFonts w:ascii="Arial" w:eastAsia="Times New Roman" w:hAnsi="Arial" w:cs="Arial"/>
          <w:b/>
          <w:bCs/>
          <w:color w:val="2E2E2E"/>
          <w:sz w:val="36"/>
          <w:szCs w:val="36"/>
          <w:lang w:val="en-US" w:eastAsia="ru-RU"/>
        </w:rPr>
      </w:pPr>
    </w:p>
    <w:p w:rsidR="00E86B26" w:rsidRPr="00E86B26" w:rsidRDefault="00E86B26" w:rsidP="00E86B26">
      <w:pPr>
        <w:spacing w:before="100" w:beforeAutospacing="1" w:after="100" w:afterAutospacing="1" w:line="240" w:lineRule="auto"/>
        <w:outlineLvl w:val="1"/>
        <w:rPr>
          <w:rFonts w:ascii="Arial" w:eastAsia="Times New Roman" w:hAnsi="Arial" w:cs="Arial"/>
          <w:b/>
          <w:bCs/>
          <w:color w:val="2E2E2E"/>
          <w:sz w:val="36"/>
          <w:szCs w:val="36"/>
          <w:lang w:val="en-US" w:eastAsia="ru-RU"/>
        </w:rPr>
      </w:pPr>
      <w:r w:rsidRPr="00E86B26">
        <w:rPr>
          <w:rFonts w:ascii="Arial" w:eastAsia="Times New Roman" w:hAnsi="Arial" w:cs="Arial"/>
          <w:b/>
          <w:bCs/>
          <w:color w:val="2E2E2E"/>
          <w:sz w:val="36"/>
          <w:szCs w:val="36"/>
          <w:lang w:val="en-US" w:eastAsia="ru-RU"/>
        </w:rPr>
        <w:t>Abstract</w:t>
      </w:r>
    </w:p>
    <w:p w:rsidR="00E86B26" w:rsidRPr="00E86B26" w:rsidRDefault="00E86B26" w:rsidP="00E86B26">
      <w:pPr>
        <w:spacing w:before="100" w:beforeAutospacing="1" w:after="100" w:afterAutospacing="1" w:line="240" w:lineRule="auto"/>
        <w:outlineLvl w:val="2"/>
        <w:rPr>
          <w:rFonts w:ascii="Arial" w:eastAsia="Times New Roman" w:hAnsi="Arial" w:cs="Arial"/>
          <w:b/>
          <w:bCs/>
          <w:color w:val="2E2E2E"/>
          <w:sz w:val="27"/>
          <w:szCs w:val="27"/>
          <w:lang w:val="en-US" w:eastAsia="ru-RU"/>
        </w:rPr>
      </w:pPr>
      <w:r w:rsidRPr="00E86B26">
        <w:rPr>
          <w:rFonts w:ascii="Arial" w:eastAsia="Times New Roman" w:hAnsi="Arial" w:cs="Arial"/>
          <w:b/>
          <w:bCs/>
          <w:color w:val="2E2E2E"/>
          <w:sz w:val="27"/>
          <w:szCs w:val="27"/>
          <w:lang w:val="en-US" w:eastAsia="ru-RU"/>
        </w:rPr>
        <w:t>Background</w:t>
      </w:r>
    </w:p>
    <w:p w:rsidR="00AB3A01" w:rsidRDefault="00AB3A01" w:rsidP="00476040">
      <w:pPr>
        <w:spacing w:after="0" w:line="240" w:lineRule="auto"/>
        <w:jc w:val="both"/>
        <w:rPr>
          <w:rFonts w:ascii="Arial" w:eastAsia="Times New Roman" w:hAnsi="Arial" w:cs="Arial"/>
          <w:color w:val="2E2E2E"/>
          <w:sz w:val="30"/>
          <w:szCs w:val="30"/>
          <w:lang w:val="en-US" w:eastAsia="ru-RU"/>
        </w:rPr>
      </w:pPr>
    </w:p>
    <w:p w:rsidR="00E86B26" w:rsidRPr="00E86B26" w:rsidRDefault="00E86B26" w:rsidP="00476040">
      <w:pPr>
        <w:spacing w:after="0" w:line="240" w:lineRule="auto"/>
        <w:jc w:val="both"/>
        <w:rPr>
          <w:rFonts w:ascii="Arial" w:eastAsia="Times New Roman" w:hAnsi="Arial" w:cs="Arial"/>
          <w:color w:val="2E2E2E"/>
          <w:sz w:val="30"/>
          <w:szCs w:val="30"/>
          <w:lang w:val="en-US" w:eastAsia="ru-RU"/>
        </w:rPr>
      </w:pPr>
      <w:r w:rsidRPr="00E86B26">
        <w:rPr>
          <w:rFonts w:ascii="Arial" w:eastAsia="Times New Roman" w:hAnsi="Arial" w:cs="Arial"/>
          <w:color w:val="2E2E2E"/>
          <w:sz w:val="30"/>
          <w:szCs w:val="30"/>
          <w:lang w:val="en-US" w:eastAsia="ru-RU"/>
        </w:rPr>
        <w:t>Obesity is a risk factor for non-alcoholic fatty liver disease (NAFLD). The disease is associated with impairment of pro/antioxidant equilibrium and the inflammation in liver tissue. The aim of the work was to investigate the anti-inflammatory properties of the </w:t>
      </w:r>
      <w:proofErr w:type="spellStart"/>
      <w:r w:rsidRPr="00E86B26">
        <w:rPr>
          <w:rFonts w:ascii="Arial" w:eastAsia="Times New Roman" w:hAnsi="Arial" w:cs="Arial"/>
          <w:color w:val="2E2E2E"/>
          <w:sz w:val="30"/>
          <w:szCs w:val="30"/>
          <w:lang w:eastAsia="ru-RU"/>
        </w:rPr>
        <w:fldChar w:fldCharType="begin"/>
      </w:r>
      <w:r w:rsidRPr="00E86B26">
        <w:rPr>
          <w:rFonts w:ascii="Arial" w:eastAsia="Times New Roman" w:hAnsi="Arial" w:cs="Arial"/>
          <w:color w:val="2E2E2E"/>
          <w:sz w:val="30"/>
          <w:szCs w:val="30"/>
          <w:lang w:val="en-US" w:eastAsia="ru-RU"/>
        </w:rPr>
        <w:instrText xml:space="preserve"> HYPERLINK "https://www.sciencedirect.com/topics/pharmacology-toxicology-and-pharmaceutical-science/nanocrystalline" \o "Learn more about nanocrystalline from ScienceDirect's AI-generated Topic Pages" </w:instrText>
      </w:r>
      <w:r w:rsidRPr="00E86B26">
        <w:rPr>
          <w:rFonts w:ascii="Arial" w:eastAsia="Times New Roman" w:hAnsi="Arial" w:cs="Arial"/>
          <w:color w:val="2E2E2E"/>
          <w:sz w:val="30"/>
          <w:szCs w:val="30"/>
          <w:lang w:eastAsia="ru-RU"/>
        </w:rPr>
        <w:fldChar w:fldCharType="separate"/>
      </w:r>
      <w:r w:rsidRPr="00E86B26">
        <w:rPr>
          <w:rFonts w:ascii="Arial" w:eastAsia="Times New Roman" w:hAnsi="Arial" w:cs="Arial"/>
          <w:color w:val="2E2E2E"/>
          <w:sz w:val="30"/>
          <w:szCs w:val="30"/>
          <w:u w:val="single"/>
          <w:lang w:val="en-US" w:eastAsia="ru-RU"/>
        </w:rPr>
        <w:t>nanocrystalline</w:t>
      </w:r>
      <w:proofErr w:type="spellEnd"/>
      <w:r w:rsidRPr="00E86B26">
        <w:rPr>
          <w:rFonts w:ascii="Arial" w:eastAsia="Times New Roman" w:hAnsi="Arial" w:cs="Arial"/>
          <w:color w:val="2E2E2E"/>
          <w:sz w:val="30"/>
          <w:szCs w:val="30"/>
          <w:lang w:eastAsia="ru-RU"/>
        </w:rPr>
        <w:fldChar w:fldCharType="end"/>
      </w:r>
      <w:r w:rsidRPr="00E86B26">
        <w:rPr>
          <w:rFonts w:ascii="Arial" w:eastAsia="Times New Roman" w:hAnsi="Arial" w:cs="Arial"/>
          <w:color w:val="2E2E2E"/>
          <w:sz w:val="30"/>
          <w:szCs w:val="30"/>
          <w:lang w:val="en-US" w:eastAsia="ru-RU"/>
        </w:rPr>
        <w:t> </w:t>
      </w:r>
      <w:hyperlink r:id="rId9" w:tooltip="Learn more about cerium dioxide from ScienceDirect's AI-generated Topic Pages" w:history="1">
        <w:r w:rsidRPr="00E86B26">
          <w:rPr>
            <w:rFonts w:ascii="Arial" w:eastAsia="Times New Roman" w:hAnsi="Arial" w:cs="Arial"/>
            <w:color w:val="2E2E2E"/>
            <w:sz w:val="30"/>
            <w:szCs w:val="30"/>
            <w:u w:val="single"/>
            <w:lang w:val="en-US" w:eastAsia="ru-RU"/>
          </w:rPr>
          <w:t>cerium dioxide</w:t>
        </w:r>
      </w:hyperlink>
      <w:r w:rsidRPr="00E86B26">
        <w:rPr>
          <w:rFonts w:ascii="Arial" w:eastAsia="Times New Roman" w:hAnsi="Arial" w:cs="Arial"/>
          <w:color w:val="2E2E2E"/>
          <w:sz w:val="30"/>
          <w:szCs w:val="30"/>
          <w:lang w:val="en-US" w:eastAsia="ru-RU"/>
        </w:rPr>
        <w:t> (nCeO</w:t>
      </w:r>
      <w:r w:rsidRPr="00E86B26">
        <w:rPr>
          <w:rFonts w:ascii="Arial" w:eastAsia="Times New Roman" w:hAnsi="Arial" w:cs="Arial"/>
          <w:color w:val="2E2E2E"/>
          <w:sz w:val="18"/>
          <w:szCs w:val="18"/>
          <w:vertAlign w:val="subscript"/>
          <w:lang w:val="en-US" w:eastAsia="ru-RU"/>
        </w:rPr>
        <w:t>2</w:t>
      </w:r>
      <w:r w:rsidRPr="00E86B26">
        <w:rPr>
          <w:rFonts w:ascii="Arial" w:eastAsia="Times New Roman" w:hAnsi="Arial" w:cs="Arial"/>
          <w:color w:val="2E2E2E"/>
          <w:sz w:val="30"/>
          <w:szCs w:val="30"/>
          <w:lang w:val="en-US" w:eastAsia="ru-RU"/>
        </w:rPr>
        <w:t>) on the rat model of NAFLD associated with monosodium glutamate (MSG)-induced obesity.</w:t>
      </w:r>
    </w:p>
    <w:p w:rsidR="00E86B26" w:rsidRPr="00E86B26" w:rsidRDefault="00E86B26" w:rsidP="00476040">
      <w:pPr>
        <w:spacing w:before="100" w:beforeAutospacing="1" w:after="100" w:afterAutospacing="1" w:line="240" w:lineRule="auto"/>
        <w:jc w:val="both"/>
        <w:outlineLvl w:val="2"/>
        <w:rPr>
          <w:rFonts w:ascii="Arial" w:eastAsia="Times New Roman" w:hAnsi="Arial" w:cs="Arial"/>
          <w:b/>
          <w:bCs/>
          <w:color w:val="2E2E2E"/>
          <w:sz w:val="27"/>
          <w:szCs w:val="27"/>
          <w:lang w:val="en-US" w:eastAsia="ru-RU"/>
        </w:rPr>
      </w:pPr>
      <w:r w:rsidRPr="00E86B26">
        <w:rPr>
          <w:rFonts w:ascii="Arial" w:eastAsia="Times New Roman" w:hAnsi="Arial" w:cs="Arial"/>
          <w:b/>
          <w:bCs/>
          <w:color w:val="2E2E2E"/>
          <w:sz w:val="27"/>
          <w:szCs w:val="27"/>
          <w:lang w:val="en-US" w:eastAsia="ru-RU"/>
        </w:rPr>
        <w:lastRenderedPageBreak/>
        <w:t>Methods</w:t>
      </w:r>
    </w:p>
    <w:p w:rsidR="00E86B26" w:rsidRPr="00E86B26" w:rsidRDefault="00E86B26" w:rsidP="00476040">
      <w:pPr>
        <w:spacing w:after="0" w:line="240" w:lineRule="auto"/>
        <w:jc w:val="both"/>
        <w:rPr>
          <w:rFonts w:ascii="Arial" w:eastAsia="Times New Roman" w:hAnsi="Arial" w:cs="Arial"/>
          <w:color w:val="2E2E2E"/>
          <w:sz w:val="30"/>
          <w:szCs w:val="30"/>
          <w:lang w:val="en-US" w:eastAsia="ru-RU"/>
        </w:rPr>
      </w:pPr>
      <w:r w:rsidRPr="00E86B26">
        <w:rPr>
          <w:rFonts w:ascii="Arial" w:eastAsia="Times New Roman" w:hAnsi="Arial" w:cs="Arial"/>
          <w:color w:val="2E2E2E"/>
          <w:sz w:val="30"/>
          <w:szCs w:val="30"/>
          <w:lang w:val="en-US" w:eastAsia="ru-RU"/>
        </w:rPr>
        <w:t>The study was carried out on three groups of rats: control, MSG- and MSG + nCeO</w:t>
      </w:r>
      <w:r w:rsidRPr="00E86B26">
        <w:rPr>
          <w:rFonts w:ascii="Arial" w:eastAsia="Times New Roman" w:hAnsi="Arial" w:cs="Arial"/>
          <w:color w:val="2E2E2E"/>
          <w:sz w:val="18"/>
          <w:szCs w:val="18"/>
          <w:vertAlign w:val="subscript"/>
          <w:lang w:val="en-US" w:eastAsia="ru-RU"/>
        </w:rPr>
        <w:t>2</w:t>
      </w:r>
      <w:r w:rsidRPr="00E86B26">
        <w:rPr>
          <w:rFonts w:ascii="Arial" w:eastAsia="Times New Roman" w:hAnsi="Arial" w:cs="Arial"/>
          <w:color w:val="2E2E2E"/>
          <w:sz w:val="30"/>
          <w:szCs w:val="30"/>
          <w:lang w:val="en-US" w:eastAsia="ru-RU"/>
        </w:rPr>
        <w:t>. They were injected with saline (control) or MSG. A month after born MSG-rats had been treated with water in a volume of 2.9 ml/kg, MSG + CeO</w:t>
      </w:r>
      <w:r w:rsidRPr="00E86B26">
        <w:rPr>
          <w:rFonts w:ascii="Arial" w:eastAsia="Times New Roman" w:hAnsi="Arial" w:cs="Arial"/>
          <w:color w:val="2E2E2E"/>
          <w:sz w:val="18"/>
          <w:szCs w:val="18"/>
          <w:vertAlign w:val="subscript"/>
          <w:lang w:val="en-US" w:eastAsia="ru-RU"/>
        </w:rPr>
        <w:t>2</w:t>
      </w:r>
      <w:r w:rsidRPr="00E86B26">
        <w:rPr>
          <w:rFonts w:ascii="Arial" w:eastAsia="Times New Roman" w:hAnsi="Arial" w:cs="Arial"/>
          <w:color w:val="2E2E2E"/>
          <w:sz w:val="30"/>
          <w:szCs w:val="30"/>
          <w:lang w:val="en-US" w:eastAsia="ru-RU"/>
        </w:rPr>
        <w:t> groups – with CeO</w:t>
      </w:r>
      <w:r w:rsidRPr="00E86B26">
        <w:rPr>
          <w:rFonts w:ascii="Arial" w:eastAsia="Times New Roman" w:hAnsi="Arial" w:cs="Arial"/>
          <w:color w:val="2E2E2E"/>
          <w:sz w:val="18"/>
          <w:szCs w:val="18"/>
          <w:vertAlign w:val="subscript"/>
          <w:lang w:val="en-US" w:eastAsia="ru-RU"/>
        </w:rPr>
        <w:t>2</w:t>
      </w:r>
      <w:r w:rsidRPr="00E86B26">
        <w:rPr>
          <w:rFonts w:ascii="Arial" w:eastAsia="Times New Roman" w:hAnsi="Arial" w:cs="Arial"/>
          <w:color w:val="2E2E2E"/>
          <w:sz w:val="30"/>
          <w:szCs w:val="30"/>
          <w:lang w:val="en-US" w:eastAsia="ru-RU"/>
        </w:rPr>
        <w:t> </w:t>
      </w:r>
      <w:proofErr w:type="spellStart"/>
      <w:r w:rsidRPr="00E86B26">
        <w:rPr>
          <w:rFonts w:ascii="Arial" w:eastAsia="Times New Roman" w:hAnsi="Arial" w:cs="Arial"/>
          <w:color w:val="2E2E2E"/>
          <w:sz w:val="30"/>
          <w:szCs w:val="30"/>
          <w:lang w:val="en-US" w:eastAsia="ru-RU"/>
        </w:rPr>
        <w:t>intragastrically</w:t>
      </w:r>
      <w:proofErr w:type="spellEnd"/>
      <w:r w:rsidRPr="00E86B26">
        <w:rPr>
          <w:rFonts w:ascii="Arial" w:eastAsia="Times New Roman" w:hAnsi="Arial" w:cs="Arial"/>
          <w:color w:val="2E2E2E"/>
          <w:sz w:val="30"/>
          <w:szCs w:val="30"/>
          <w:lang w:val="en-US" w:eastAsia="ru-RU"/>
        </w:rPr>
        <w:t xml:space="preserve"> (</w:t>
      </w:r>
      <w:proofErr w:type="spellStart"/>
      <w:r w:rsidRPr="00E86B26">
        <w:rPr>
          <w:rFonts w:ascii="Arial" w:eastAsia="Times New Roman" w:hAnsi="Arial" w:cs="Arial"/>
          <w:color w:val="2E2E2E"/>
          <w:sz w:val="30"/>
          <w:szCs w:val="30"/>
          <w:lang w:val="en-US" w:eastAsia="ru-RU"/>
        </w:rPr>
        <w:t>i.g</w:t>
      </w:r>
      <w:proofErr w:type="spellEnd"/>
      <w:r w:rsidRPr="00E86B26">
        <w:rPr>
          <w:rFonts w:ascii="Arial" w:eastAsia="Times New Roman" w:hAnsi="Arial" w:cs="Arial"/>
          <w:color w:val="2E2E2E"/>
          <w:sz w:val="30"/>
          <w:szCs w:val="30"/>
          <w:lang w:val="en-US" w:eastAsia="ru-RU"/>
        </w:rPr>
        <w:t>.). The </w:t>
      </w:r>
      <w:hyperlink r:id="rId10" w:tooltip="Learn more about anthropometric from ScienceDirect's AI-generated Topic Pages" w:history="1">
        <w:r w:rsidRPr="00E86B26">
          <w:rPr>
            <w:rFonts w:ascii="Arial" w:eastAsia="Times New Roman" w:hAnsi="Arial" w:cs="Arial"/>
            <w:color w:val="2E2E2E"/>
            <w:sz w:val="30"/>
            <w:szCs w:val="30"/>
            <w:u w:val="single"/>
            <w:lang w:val="en-US" w:eastAsia="ru-RU"/>
          </w:rPr>
          <w:t>anthropometric</w:t>
        </w:r>
      </w:hyperlink>
      <w:r w:rsidRPr="00E86B26">
        <w:rPr>
          <w:rFonts w:ascii="Arial" w:eastAsia="Times New Roman" w:hAnsi="Arial" w:cs="Arial"/>
          <w:color w:val="2E2E2E"/>
          <w:sz w:val="30"/>
          <w:szCs w:val="30"/>
          <w:lang w:val="en-US" w:eastAsia="ru-RU"/>
        </w:rPr>
        <w:t> and </w:t>
      </w:r>
      <w:hyperlink r:id="rId11" w:tooltip="Learn more about carbohydrate metabolism from ScienceDirect's AI-generated Topic Pages" w:history="1">
        <w:r w:rsidRPr="00E86B26">
          <w:rPr>
            <w:rFonts w:ascii="Arial" w:eastAsia="Times New Roman" w:hAnsi="Arial" w:cs="Arial"/>
            <w:color w:val="2E2E2E"/>
            <w:sz w:val="30"/>
            <w:szCs w:val="30"/>
            <w:u w:val="single"/>
            <w:lang w:val="en-US" w:eastAsia="ru-RU"/>
          </w:rPr>
          <w:t>carbohydrate metabolism</w:t>
        </w:r>
      </w:hyperlink>
      <w:r w:rsidRPr="00E86B26">
        <w:rPr>
          <w:rFonts w:ascii="Arial" w:eastAsia="Times New Roman" w:hAnsi="Arial" w:cs="Arial"/>
          <w:color w:val="2E2E2E"/>
          <w:sz w:val="30"/>
          <w:szCs w:val="30"/>
          <w:lang w:val="en-US" w:eastAsia="ru-RU"/>
        </w:rPr>
        <w:t xml:space="preserve"> parameters, content of </w:t>
      </w:r>
      <w:proofErr w:type="spellStart"/>
      <w:r w:rsidRPr="00E86B26">
        <w:rPr>
          <w:rFonts w:ascii="Arial" w:eastAsia="Times New Roman" w:hAnsi="Arial" w:cs="Arial"/>
          <w:color w:val="2E2E2E"/>
          <w:sz w:val="30"/>
          <w:szCs w:val="30"/>
          <w:lang w:val="en-US" w:eastAsia="ru-RU"/>
        </w:rPr>
        <w:t>proinflammatory</w:t>
      </w:r>
      <w:proofErr w:type="spellEnd"/>
      <w:r w:rsidRPr="00E86B26">
        <w:rPr>
          <w:rFonts w:ascii="Arial" w:eastAsia="Times New Roman" w:hAnsi="Arial" w:cs="Arial"/>
          <w:color w:val="2E2E2E"/>
          <w:sz w:val="30"/>
          <w:szCs w:val="30"/>
          <w:lang w:val="en-US" w:eastAsia="ru-RU"/>
        </w:rPr>
        <w:t xml:space="preserve"> cytokines (interleukin (IL)-1</w:t>
      </w:r>
      <w:r w:rsidRPr="00E86B26">
        <w:rPr>
          <w:rFonts w:ascii="Arial" w:eastAsia="Times New Roman" w:hAnsi="Arial" w:cs="Arial"/>
          <w:color w:val="2E2E2E"/>
          <w:sz w:val="30"/>
          <w:szCs w:val="30"/>
          <w:lang w:eastAsia="ru-RU"/>
        </w:rPr>
        <w:t>β</w:t>
      </w:r>
      <w:r w:rsidRPr="00E86B26">
        <w:rPr>
          <w:rFonts w:ascii="Arial" w:eastAsia="Times New Roman" w:hAnsi="Arial" w:cs="Arial"/>
          <w:color w:val="2E2E2E"/>
          <w:sz w:val="30"/>
          <w:szCs w:val="30"/>
          <w:lang w:val="en-US" w:eastAsia="ru-RU"/>
        </w:rPr>
        <w:t>, IL-12Bp40, interferon-</w:t>
      </w:r>
      <w:r w:rsidRPr="00E86B26">
        <w:rPr>
          <w:rFonts w:ascii="Arial" w:eastAsia="Times New Roman" w:hAnsi="Arial" w:cs="Arial"/>
          <w:color w:val="2E2E2E"/>
          <w:sz w:val="30"/>
          <w:szCs w:val="30"/>
          <w:lang w:eastAsia="ru-RU"/>
        </w:rPr>
        <w:t>γ</w:t>
      </w:r>
      <w:r w:rsidRPr="00E86B26">
        <w:rPr>
          <w:rFonts w:ascii="Arial" w:eastAsia="Times New Roman" w:hAnsi="Arial" w:cs="Arial"/>
          <w:color w:val="2E2E2E"/>
          <w:sz w:val="30"/>
          <w:szCs w:val="30"/>
          <w:lang w:val="en-US" w:eastAsia="ru-RU"/>
        </w:rPr>
        <w:t xml:space="preserve"> (INF-</w:t>
      </w:r>
      <w:r w:rsidRPr="00E86B26">
        <w:rPr>
          <w:rFonts w:ascii="Arial" w:eastAsia="Times New Roman" w:hAnsi="Arial" w:cs="Arial"/>
          <w:color w:val="2E2E2E"/>
          <w:sz w:val="30"/>
          <w:szCs w:val="30"/>
          <w:lang w:eastAsia="ru-RU"/>
        </w:rPr>
        <w:t>γ</w:t>
      </w:r>
      <w:r w:rsidRPr="00E86B26">
        <w:rPr>
          <w:rFonts w:ascii="Arial" w:eastAsia="Times New Roman" w:hAnsi="Arial" w:cs="Arial"/>
          <w:color w:val="2E2E2E"/>
          <w:sz w:val="30"/>
          <w:szCs w:val="30"/>
          <w:lang w:val="en-US" w:eastAsia="ru-RU"/>
        </w:rPr>
        <w:t>)) and anti-inflammatory cytokines (IL-4, IL-10, tumor growth factor-</w:t>
      </w:r>
      <w:r w:rsidRPr="00E86B26">
        <w:rPr>
          <w:rFonts w:ascii="Arial" w:eastAsia="Times New Roman" w:hAnsi="Arial" w:cs="Arial"/>
          <w:color w:val="2E2E2E"/>
          <w:sz w:val="30"/>
          <w:szCs w:val="30"/>
          <w:lang w:eastAsia="ru-RU"/>
        </w:rPr>
        <w:t>β</w:t>
      </w:r>
      <w:r w:rsidRPr="00E86B26">
        <w:rPr>
          <w:rFonts w:ascii="Arial" w:eastAsia="Times New Roman" w:hAnsi="Arial" w:cs="Arial"/>
          <w:color w:val="2E2E2E"/>
          <w:sz w:val="30"/>
          <w:szCs w:val="30"/>
          <w:lang w:val="en-US" w:eastAsia="ru-RU"/>
        </w:rPr>
        <w:t xml:space="preserve"> (TGF-</w:t>
      </w:r>
      <w:r w:rsidRPr="00E86B26">
        <w:rPr>
          <w:rFonts w:ascii="Arial" w:eastAsia="Times New Roman" w:hAnsi="Arial" w:cs="Arial"/>
          <w:color w:val="2E2E2E"/>
          <w:sz w:val="30"/>
          <w:szCs w:val="30"/>
          <w:lang w:eastAsia="ru-RU"/>
        </w:rPr>
        <w:t>β</w:t>
      </w:r>
      <w:r w:rsidRPr="00E86B26">
        <w:rPr>
          <w:rFonts w:ascii="Arial" w:eastAsia="Times New Roman" w:hAnsi="Arial" w:cs="Arial"/>
          <w:color w:val="2E2E2E"/>
          <w:sz w:val="30"/>
          <w:szCs w:val="30"/>
          <w:lang w:val="en-US" w:eastAsia="ru-RU"/>
        </w:rPr>
        <w:t>)) were measured by </w:t>
      </w:r>
      <w:hyperlink r:id="rId12" w:tooltip="Learn more about ELISA from ScienceDirect's AI-generated Topic Pages" w:history="1">
        <w:r w:rsidRPr="00E86B26">
          <w:rPr>
            <w:rFonts w:ascii="Arial" w:eastAsia="Times New Roman" w:hAnsi="Arial" w:cs="Arial"/>
            <w:color w:val="2E2E2E"/>
            <w:sz w:val="30"/>
            <w:szCs w:val="30"/>
            <w:u w:val="single"/>
            <w:lang w:val="en-US" w:eastAsia="ru-RU"/>
          </w:rPr>
          <w:t>ELISA</w:t>
        </w:r>
      </w:hyperlink>
      <w:r w:rsidRPr="00E86B26">
        <w:rPr>
          <w:rFonts w:ascii="Arial" w:eastAsia="Times New Roman" w:hAnsi="Arial" w:cs="Arial"/>
          <w:color w:val="2E2E2E"/>
          <w:sz w:val="30"/>
          <w:szCs w:val="30"/>
          <w:lang w:val="en-US" w:eastAsia="ru-RU"/>
        </w:rPr>
        <w:t>.</w:t>
      </w:r>
    </w:p>
    <w:p w:rsidR="00E86B26" w:rsidRPr="00E86B26" w:rsidRDefault="00E86B26" w:rsidP="00476040">
      <w:pPr>
        <w:spacing w:before="100" w:beforeAutospacing="1" w:after="100" w:afterAutospacing="1" w:line="240" w:lineRule="auto"/>
        <w:jc w:val="both"/>
        <w:outlineLvl w:val="2"/>
        <w:rPr>
          <w:rFonts w:ascii="Arial" w:eastAsia="Times New Roman" w:hAnsi="Arial" w:cs="Arial"/>
          <w:b/>
          <w:bCs/>
          <w:color w:val="2E2E2E"/>
          <w:sz w:val="27"/>
          <w:szCs w:val="27"/>
          <w:lang w:val="en-US" w:eastAsia="ru-RU"/>
        </w:rPr>
      </w:pPr>
      <w:r w:rsidRPr="00E86B26">
        <w:rPr>
          <w:rFonts w:ascii="Arial" w:eastAsia="Times New Roman" w:hAnsi="Arial" w:cs="Arial"/>
          <w:b/>
          <w:bCs/>
          <w:color w:val="2E2E2E"/>
          <w:sz w:val="27"/>
          <w:szCs w:val="27"/>
          <w:lang w:val="en-US" w:eastAsia="ru-RU"/>
        </w:rPr>
        <w:t>Results</w:t>
      </w:r>
    </w:p>
    <w:p w:rsidR="00E86B26" w:rsidRPr="00E86B26" w:rsidRDefault="00E86B26" w:rsidP="00476040">
      <w:pPr>
        <w:spacing w:after="0" w:line="240" w:lineRule="auto"/>
        <w:jc w:val="both"/>
        <w:rPr>
          <w:rFonts w:ascii="Arial" w:eastAsia="Times New Roman" w:hAnsi="Arial" w:cs="Arial"/>
          <w:color w:val="2E2E2E"/>
          <w:sz w:val="30"/>
          <w:szCs w:val="30"/>
          <w:lang w:val="en-US" w:eastAsia="ru-RU"/>
        </w:rPr>
      </w:pPr>
      <w:r w:rsidRPr="00E86B26">
        <w:rPr>
          <w:rFonts w:ascii="Arial" w:eastAsia="Times New Roman" w:hAnsi="Arial" w:cs="Arial"/>
          <w:color w:val="2E2E2E"/>
          <w:sz w:val="30"/>
          <w:szCs w:val="30"/>
          <w:lang w:val="en-US" w:eastAsia="ru-RU"/>
        </w:rPr>
        <w:t>We have demonstrated the anti-obesity effect of </w:t>
      </w:r>
      <w:proofErr w:type="spellStart"/>
      <w:r w:rsidRPr="00E86B26">
        <w:rPr>
          <w:rFonts w:ascii="Arial" w:eastAsia="Times New Roman" w:hAnsi="Arial" w:cs="Arial"/>
          <w:color w:val="2E2E2E"/>
          <w:sz w:val="30"/>
          <w:szCs w:val="30"/>
          <w:lang w:eastAsia="ru-RU"/>
        </w:rPr>
        <w:fldChar w:fldCharType="begin"/>
      </w:r>
      <w:r w:rsidRPr="00E86B26">
        <w:rPr>
          <w:rFonts w:ascii="Arial" w:eastAsia="Times New Roman" w:hAnsi="Arial" w:cs="Arial"/>
          <w:color w:val="2E2E2E"/>
          <w:sz w:val="30"/>
          <w:szCs w:val="30"/>
          <w:lang w:val="en-US" w:eastAsia="ru-RU"/>
        </w:rPr>
        <w:instrText xml:space="preserve"> HYPERLINK "https://www.sciencedirect.com/topics/pharmacology-toxicology-and-pharmaceutical-science/nanocrystalline" \o "Learn more about nanocrystalline from ScienceDirect's AI-generated Topic Pages" </w:instrText>
      </w:r>
      <w:r w:rsidRPr="00E86B26">
        <w:rPr>
          <w:rFonts w:ascii="Arial" w:eastAsia="Times New Roman" w:hAnsi="Arial" w:cs="Arial"/>
          <w:color w:val="2E2E2E"/>
          <w:sz w:val="30"/>
          <w:szCs w:val="30"/>
          <w:lang w:eastAsia="ru-RU"/>
        </w:rPr>
        <w:fldChar w:fldCharType="separate"/>
      </w:r>
      <w:r w:rsidRPr="00E86B26">
        <w:rPr>
          <w:rFonts w:ascii="Arial" w:eastAsia="Times New Roman" w:hAnsi="Arial" w:cs="Arial"/>
          <w:color w:val="2E2E2E"/>
          <w:sz w:val="30"/>
          <w:szCs w:val="30"/>
          <w:u w:val="single"/>
          <w:lang w:val="en-US" w:eastAsia="ru-RU"/>
        </w:rPr>
        <w:t>nanocrystalline</w:t>
      </w:r>
      <w:proofErr w:type="spellEnd"/>
      <w:r w:rsidRPr="00E86B26">
        <w:rPr>
          <w:rFonts w:ascii="Arial" w:eastAsia="Times New Roman" w:hAnsi="Arial" w:cs="Arial"/>
          <w:color w:val="2E2E2E"/>
          <w:sz w:val="30"/>
          <w:szCs w:val="30"/>
          <w:lang w:eastAsia="ru-RU"/>
        </w:rPr>
        <w:fldChar w:fldCharType="end"/>
      </w:r>
      <w:r w:rsidRPr="00E86B26">
        <w:rPr>
          <w:rFonts w:ascii="Arial" w:eastAsia="Times New Roman" w:hAnsi="Arial" w:cs="Arial"/>
          <w:color w:val="2E2E2E"/>
          <w:sz w:val="30"/>
          <w:szCs w:val="30"/>
          <w:lang w:val="en-US" w:eastAsia="ru-RU"/>
        </w:rPr>
        <w:t> </w:t>
      </w:r>
      <w:hyperlink r:id="rId13" w:tooltip="Learn more about cerium dioxide from ScienceDirect's AI-generated Topic Pages" w:history="1">
        <w:r w:rsidRPr="00E86B26">
          <w:rPr>
            <w:rFonts w:ascii="Arial" w:eastAsia="Times New Roman" w:hAnsi="Arial" w:cs="Arial"/>
            <w:color w:val="2E2E2E"/>
            <w:sz w:val="30"/>
            <w:szCs w:val="30"/>
            <w:u w:val="single"/>
            <w:lang w:val="en-US" w:eastAsia="ru-RU"/>
          </w:rPr>
          <w:t>cerium dioxide</w:t>
        </w:r>
      </w:hyperlink>
      <w:r w:rsidRPr="00E86B26">
        <w:rPr>
          <w:rFonts w:ascii="Arial" w:eastAsia="Times New Roman" w:hAnsi="Arial" w:cs="Arial"/>
          <w:color w:val="2E2E2E"/>
          <w:sz w:val="30"/>
          <w:szCs w:val="30"/>
          <w:lang w:val="en-US" w:eastAsia="ru-RU"/>
        </w:rPr>
        <w:t> and for the first time its anti-inflammatory properties. </w:t>
      </w:r>
      <w:hyperlink r:id="rId14" w:tooltip="Learn more about Nanoparticles from ScienceDirect's AI-generated Topic Pages" w:history="1">
        <w:r w:rsidRPr="00E86B26">
          <w:rPr>
            <w:rFonts w:ascii="Arial" w:eastAsia="Times New Roman" w:hAnsi="Arial" w:cs="Arial"/>
            <w:color w:val="2E2E2E"/>
            <w:sz w:val="30"/>
            <w:szCs w:val="30"/>
            <w:u w:val="single"/>
            <w:lang w:val="en-US" w:eastAsia="ru-RU"/>
          </w:rPr>
          <w:t>Nanoparticles</w:t>
        </w:r>
      </w:hyperlink>
      <w:r w:rsidRPr="00E86B26">
        <w:rPr>
          <w:rFonts w:ascii="Arial" w:eastAsia="Times New Roman" w:hAnsi="Arial" w:cs="Arial"/>
          <w:color w:val="2E2E2E"/>
          <w:sz w:val="30"/>
          <w:szCs w:val="30"/>
          <w:lang w:val="en-US" w:eastAsia="ru-RU"/>
        </w:rPr>
        <w:t> reduced the content of pro-inflammatory cytokines (IL-1</w:t>
      </w:r>
      <w:r w:rsidRPr="00E86B26">
        <w:rPr>
          <w:rFonts w:ascii="Arial" w:eastAsia="Times New Roman" w:hAnsi="Arial" w:cs="Arial"/>
          <w:color w:val="2E2E2E"/>
          <w:sz w:val="30"/>
          <w:szCs w:val="30"/>
          <w:lang w:eastAsia="ru-RU"/>
        </w:rPr>
        <w:t>β</w:t>
      </w:r>
      <w:r w:rsidRPr="00E86B26">
        <w:rPr>
          <w:rFonts w:ascii="Arial" w:eastAsia="Times New Roman" w:hAnsi="Arial" w:cs="Arial"/>
          <w:color w:val="2E2E2E"/>
          <w:sz w:val="30"/>
          <w:szCs w:val="30"/>
          <w:lang w:val="en-US" w:eastAsia="ru-RU"/>
        </w:rPr>
        <w:t>, IL-12Bp40) in rat serum and restored the level of anti-inflammatory cytokines (IL-4, IL-10, TGF-</w:t>
      </w:r>
      <w:r w:rsidRPr="00E86B26">
        <w:rPr>
          <w:rFonts w:ascii="Arial" w:eastAsia="Times New Roman" w:hAnsi="Arial" w:cs="Arial"/>
          <w:color w:val="2E2E2E"/>
          <w:sz w:val="30"/>
          <w:szCs w:val="30"/>
          <w:lang w:eastAsia="ru-RU"/>
        </w:rPr>
        <w:t>β</w:t>
      </w:r>
      <w:r w:rsidRPr="00E86B26">
        <w:rPr>
          <w:rFonts w:ascii="Arial" w:eastAsia="Times New Roman" w:hAnsi="Arial" w:cs="Arial"/>
          <w:color w:val="2E2E2E"/>
          <w:sz w:val="30"/>
          <w:szCs w:val="30"/>
          <w:lang w:val="en-US" w:eastAsia="ru-RU"/>
        </w:rPr>
        <w:t>) to the control values.</w:t>
      </w:r>
    </w:p>
    <w:p w:rsidR="00E86B26" w:rsidRPr="00E86B26" w:rsidRDefault="00E86B26" w:rsidP="00476040">
      <w:pPr>
        <w:spacing w:before="100" w:beforeAutospacing="1" w:after="100" w:afterAutospacing="1" w:line="240" w:lineRule="auto"/>
        <w:jc w:val="both"/>
        <w:outlineLvl w:val="2"/>
        <w:rPr>
          <w:rFonts w:ascii="Arial" w:eastAsia="Times New Roman" w:hAnsi="Arial" w:cs="Arial"/>
          <w:b/>
          <w:bCs/>
          <w:color w:val="2E2E2E"/>
          <w:sz w:val="27"/>
          <w:szCs w:val="27"/>
          <w:lang w:val="en-US" w:eastAsia="ru-RU"/>
        </w:rPr>
      </w:pPr>
      <w:r w:rsidRPr="00E86B26">
        <w:rPr>
          <w:rFonts w:ascii="Arial" w:eastAsia="Times New Roman" w:hAnsi="Arial" w:cs="Arial"/>
          <w:b/>
          <w:bCs/>
          <w:color w:val="2E2E2E"/>
          <w:sz w:val="27"/>
          <w:szCs w:val="27"/>
          <w:lang w:val="en-US" w:eastAsia="ru-RU"/>
        </w:rPr>
        <w:t>Conclusion</w:t>
      </w:r>
    </w:p>
    <w:p w:rsidR="00E86B26" w:rsidRPr="00E86B26" w:rsidRDefault="00E86B26" w:rsidP="00476040">
      <w:pPr>
        <w:spacing w:after="240" w:line="240" w:lineRule="auto"/>
        <w:jc w:val="both"/>
        <w:rPr>
          <w:rFonts w:ascii="Arial" w:eastAsia="Times New Roman" w:hAnsi="Arial" w:cs="Arial"/>
          <w:color w:val="2E2E2E"/>
          <w:sz w:val="30"/>
          <w:szCs w:val="30"/>
          <w:lang w:val="en-US" w:eastAsia="ru-RU"/>
        </w:rPr>
      </w:pPr>
      <w:r w:rsidRPr="00E86B26">
        <w:rPr>
          <w:rFonts w:ascii="Arial" w:eastAsia="Times New Roman" w:hAnsi="Arial" w:cs="Arial"/>
          <w:color w:val="2E2E2E"/>
          <w:sz w:val="30"/>
          <w:szCs w:val="30"/>
          <w:lang w:val="en-US" w:eastAsia="ru-RU"/>
        </w:rPr>
        <w:t xml:space="preserve">The precise mechanisms of this phenomenon remain to be unclear but we suppose they are at least partially associated with the strong anti-oxidant action of studied substance. </w:t>
      </w:r>
      <w:proofErr w:type="spellStart"/>
      <w:r w:rsidRPr="00E86B26">
        <w:rPr>
          <w:rFonts w:ascii="Arial" w:eastAsia="Times New Roman" w:hAnsi="Arial" w:cs="Arial"/>
          <w:color w:val="2E2E2E"/>
          <w:sz w:val="30"/>
          <w:szCs w:val="30"/>
          <w:lang w:val="en-US" w:eastAsia="ru-RU"/>
        </w:rPr>
        <w:t>Nanocrystalline</w:t>
      </w:r>
      <w:proofErr w:type="spellEnd"/>
      <w:r w:rsidRPr="00E86B26">
        <w:rPr>
          <w:rFonts w:ascii="Arial" w:eastAsia="Times New Roman" w:hAnsi="Arial" w:cs="Arial"/>
          <w:color w:val="2E2E2E"/>
          <w:sz w:val="30"/>
          <w:szCs w:val="30"/>
          <w:lang w:val="en-US" w:eastAsia="ru-RU"/>
        </w:rPr>
        <w:t xml:space="preserve"> cerium dioxide attenuates the inflammatory processes in rat blood that can prevent obesity complications and liver injury.</w:t>
      </w:r>
    </w:p>
    <w:p w:rsidR="00E86B26" w:rsidRPr="00E86B26" w:rsidRDefault="00E86B26" w:rsidP="00476040">
      <w:pPr>
        <w:spacing w:after="100" w:afterAutospacing="1" w:line="240" w:lineRule="auto"/>
        <w:jc w:val="both"/>
        <w:outlineLvl w:val="1"/>
        <w:rPr>
          <w:rFonts w:ascii="Arial" w:eastAsia="Times New Roman" w:hAnsi="Arial" w:cs="Arial"/>
          <w:b/>
          <w:bCs/>
          <w:color w:val="2E2E2E"/>
          <w:sz w:val="36"/>
          <w:szCs w:val="36"/>
          <w:lang w:val="en-US" w:eastAsia="ru-RU"/>
        </w:rPr>
      </w:pPr>
      <w:r w:rsidRPr="00E86B26">
        <w:rPr>
          <w:rFonts w:ascii="Arial" w:eastAsia="Times New Roman" w:hAnsi="Arial" w:cs="Arial"/>
          <w:b/>
          <w:bCs/>
          <w:color w:val="2E2E2E"/>
          <w:sz w:val="36"/>
          <w:szCs w:val="36"/>
          <w:lang w:val="en-US" w:eastAsia="ru-RU"/>
        </w:rPr>
        <w:t>Introduction</w:t>
      </w:r>
    </w:p>
    <w:p w:rsidR="00E86B26" w:rsidRPr="00E86B26" w:rsidRDefault="00E86B26" w:rsidP="00476040">
      <w:pPr>
        <w:spacing w:after="240" w:line="240" w:lineRule="auto"/>
        <w:jc w:val="both"/>
        <w:rPr>
          <w:rFonts w:ascii="Arial" w:eastAsia="Times New Roman" w:hAnsi="Arial" w:cs="Arial"/>
          <w:color w:val="2E2E2E"/>
          <w:sz w:val="30"/>
          <w:szCs w:val="30"/>
          <w:lang w:val="en-US" w:eastAsia="ru-RU"/>
        </w:rPr>
      </w:pPr>
      <w:r w:rsidRPr="00E86B26">
        <w:rPr>
          <w:rFonts w:ascii="Arial" w:eastAsia="Times New Roman" w:hAnsi="Arial" w:cs="Arial"/>
          <w:color w:val="2E2E2E"/>
          <w:sz w:val="30"/>
          <w:szCs w:val="30"/>
          <w:lang w:val="en-US" w:eastAsia="ru-RU"/>
        </w:rPr>
        <w:t xml:space="preserve">Obesity that is proclaimed as the global epidemic by WHO is strongly associated with increased risk of development of various diseases [1], [2]. Death rating among obese population exceeds the benchmarks of non-obese at least by 20% [3]. Visceral adiposity is considered as the most dangerous type of obesity with the deposition of fat in internal organs especially in liver [4], [5]. The accumulation of adipose tissue in this organ leads to the progression of nonalcoholic fatty liver disease (NAFLD) [6], [7]. NAFLD is one of the main hepatic disorders which is currently attracted the attention of scientists [8]. </w:t>
      </w:r>
      <w:proofErr w:type="spellStart"/>
      <w:r w:rsidRPr="00E86B26">
        <w:rPr>
          <w:rFonts w:ascii="Arial" w:eastAsia="Times New Roman" w:hAnsi="Arial" w:cs="Arial"/>
          <w:color w:val="2E2E2E"/>
          <w:sz w:val="30"/>
          <w:szCs w:val="30"/>
          <w:lang w:val="en-US" w:eastAsia="ru-RU"/>
        </w:rPr>
        <w:t>Kanwal</w:t>
      </w:r>
      <w:proofErr w:type="spellEnd"/>
      <w:r w:rsidRPr="00E86B26">
        <w:rPr>
          <w:rFonts w:ascii="Arial" w:eastAsia="Times New Roman" w:hAnsi="Arial" w:cs="Arial"/>
          <w:color w:val="2E2E2E"/>
          <w:sz w:val="30"/>
          <w:szCs w:val="30"/>
          <w:lang w:val="en-US" w:eastAsia="ru-RU"/>
        </w:rPr>
        <w:t xml:space="preserve"> et al. affirm the 2.8-fold increase in NAFLD incidence from 2003 to 2011 at least in US and this rating continues to raise [9]. It is reported that NAFLD is not only associated with the impaired liver function and possible development of hepatocellular carcinoma but also with the bad health-related quality of life and needs the significant costs [10].</w:t>
      </w:r>
    </w:p>
    <w:p w:rsidR="00E86B26" w:rsidRPr="00E86B26" w:rsidRDefault="00E86B26" w:rsidP="00476040">
      <w:pPr>
        <w:spacing w:after="240" w:line="240" w:lineRule="auto"/>
        <w:jc w:val="both"/>
        <w:rPr>
          <w:rFonts w:ascii="Arial" w:eastAsia="Times New Roman" w:hAnsi="Arial" w:cs="Arial"/>
          <w:color w:val="2E2E2E"/>
          <w:sz w:val="30"/>
          <w:szCs w:val="30"/>
          <w:lang w:val="en-US" w:eastAsia="ru-RU"/>
        </w:rPr>
      </w:pPr>
      <w:r w:rsidRPr="00E86B26">
        <w:rPr>
          <w:rFonts w:ascii="Arial" w:eastAsia="Times New Roman" w:hAnsi="Arial" w:cs="Arial"/>
          <w:color w:val="2E2E2E"/>
          <w:sz w:val="30"/>
          <w:szCs w:val="30"/>
          <w:lang w:val="en-US" w:eastAsia="ru-RU"/>
        </w:rPr>
        <w:lastRenderedPageBreak/>
        <w:t xml:space="preserve">Previously we have shown the development of NAFLD in the rat model of obesity induced by neonatal injection of monosodium glutamate (MSG) [11]. The inflammatory processes are implicated in pathogenesis of the liver injury and NAFLD associated with obesity [12], [13], [14], [15]. </w:t>
      </w:r>
      <w:proofErr w:type="spellStart"/>
      <w:r w:rsidRPr="00E86B26">
        <w:rPr>
          <w:rFonts w:ascii="Arial" w:eastAsia="Times New Roman" w:hAnsi="Arial" w:cs="Arial"/>
          <w:color w:val="2E2E2E"/>
          <w:sz w:val="30"/>
          <w:szCs w:val="30"/>
          <w:lang w:val="en-US" w:eastAsia="ru-RU"/>
        </w:rPr>
        <w:t>Proinflammatory</w:t>
      </w:r>
      <w:proofErr w:type="spellEnd"/>
      <w:r w:rsidRPr="00E86B26">
        <w:rPr>
          <w:rFonts w:ascii="Arial" w:eastAsia="Times New Roman" w:hAnsi="Arial" w:cs="Arial"/>
          <w:color w:val="2E2E2E"/>
          <w:sz w:val="30"/>
          <w:szCs w:val="30"/>
          <w:lang w:val="en-US" w:eastAsia="ru-RU"/>
        </w:rPr>
        <w:t xml:space="preserve"> cytokines lead to the liver tissue destruction and fibrosis that worsens the obesity consequences and complicates the liver treatment [16]. Chronic inflammatory responses aggravate pathological progression of human diseases as an example liver injury, so targeting reduction of chronic inflammation is a beneficial strategy to combat NAFLD [17]. That is why, the search of non-toxic drugs to prevent obesity sequelae namely inflammation is of the current interest.</w:t>
      </w:r>
    </w:p>
    <w:p w:rsidR="00E86B26" w:rsidRPr="00E86B26" w:rsidRDefault="00E86B26" w:rsidP="00476040">
      <w:pPr>
        <w:spacing w:after="0" w:line="240" w:lineRule="auto"/>
        <w:jc w:val="both"/>
        <w:rPr>
          <w:rFonts w:ascii="Arial" w:eastAsia="Times New Roman" w:hAnsi="Arial" w:cs="Arial"/>
          <w:color w:val="2E2E2E"/>
          <w:sz w:val="30"/>
          <w:szCs w:val="30"/>
          <w:lang w:val="en-US" w:eastAsia="ru-RU"/>
        </w:rPr>
      </w:pPr>
      <w:r w:rsidRPr="00E86B26">
        <w:rPr>
          <w:rFonts w:ascii="Arial" w:eastAsia="Times New Roman" w:hAnsi="Arial" w:cs="Arial"/>
          <w:color w:val="2E2E2E"/>
          <w:sz w:val="30"/>
          <w:szCs w:val="30"/>
          <w:lang w:val="en-US" w:eastAsia="ru-RU"/>
        </w:rPr>
        <w:t xml:space="preserve">Currently we actively examine the </w:t>
      </w:r>
      <w:proofErr w:type="spellStart"/>
      <w:r w:rsidRPr="00E86B26">
        <w:rPr>
          <w:rFonts w:ascii="Arial" w:eastAsia="Times New Roman" w:hAnsi="Arial" w:cs="Arial"/>
          <w:color w:val="2E2E2E"/>
          <w:sz w:val="30"/>
          <w:szCs w:val="30"/>
          <w:lang w:val="en-US" w:eastAsia="ru-RU"/>
        </w:rPr>
        <w:t>nanocrystalline</w:t>
      </w:r>
      <w:proofErr w:type="spellEnd"/>
      <w:r w:rsidRPr="00E86B26">
        <w:rPr>
          <w:rFonts w:ascii="Arial" w:eastAsia="Times New Roman" w:hAnsi="Arial" w:cs="Arial"/>
          <w:color w:val="2E2E2E"/>
          <w:sz w:val="30"/>
          <w:szCs w:val="30"/>
          <w:lang w:val="en-US" w:eastAsia="ru-RU"/>
        </w:rPr>
        <w:t xml:space="preserve"> cerium dioxide (nCeO</w:t>
      </w:r>
      <w:r w:rsidRPr="00E86B26">
        <w:rPr>
          <w:rFonts w:ascii="Arial" w:eastAsia="Times New Roman" w:hAnsi="Arial" w:cs="Arial"/>
          <w:color w:val="2E2E2E"/>
          <w:sz w:val="18"/>
          <w:szCs w:val="18"/>
          <w:vertAlign w:val="subscript"/>
          <w:lang w:val="en-US" w:eastAsia="ru-RU"/>
        </w:rPr>
        <w:t>2</w:t>
      </w:r>
      <w:r w:rsidRPr="00E86B26">
        <w:rPr>
          <w:rFonts w:ascii="Arial" w:eastAsia="Times New Roman" w:hAnsi="Arial" w:cs="Arial"/>
          <w:color w:val="2E2E2E"/>
          <w:sz w:val="30"/>
          <w:szCs w:val="30"/>
          <w:lang w:val="en-US" w:eastAsia="ru-RU"/>
        </w:rPr>
        <w:t>) which has shown the strong antioxidant effect [18]. So, the aim of the study is to estimate the anti-inflammatory properties of nCeO</w:t>
      </w:r>
      <w:r w:rsidRPr="00E86B26">
        <w:rPr>
          <w:rFonts w:ascii="Arial" w:eastAsia="Times New Roman" w:hAnsi="Arial" w:cs="Arial"/>
          <w:color w:val="2E2E2E"/>
          <w:sz w:val="18"/>
          <w:szCs w:val="18"/>
          <w:vertAlign w:val="subscript"/>
          <w:lang w:val="en-US" w:eastAsia="ru-RU"/>
        </w:rPr>
        <w:t>2</w:t>
      </w:r>
      <w:r w:rsidRPr="00E86B26">
        <w:rPr>
          <w:rFonts w:ascii="Arial" w:eastAsia="Times New Roman" w:hAnsi="Arial" w:cs="Arial"/>
          <w:color w:val="2E2E2E"/>
          <w:sz w:val="30"/>
          <w:szCs w:val="30"/>
          <w:lang w:val="en-US" w:eastAsia="ru-RU"/>
        </w:rPr>
        <w:t> on the rat model of NAFLD associated with MSG-induced obesity.</w:t>
      </w:r>
    </w:p>
    <w:p w:rsidR="00E86B26" w:rsidRPr="00476040" w:rsidRDefault="00E86B26" w:rsidP="00476040">
      <w:pPr>
        <w:spacing w:before="100" w:beforeAutospacing="1" w:after="100" w:afterAutospacing="1" w:line="240" w:lineRule="auto"/>
        <w:jc w:val="both"/>
        <w:outlineLvl w:val="1"/>
        <w:rPr>
          <w:rFonts w:ascii="Arial" w:eastAsia="Times New Roman" w:hAnsi="Arial" w:cs="Arial"/>
          <w:b/>
          <w:bCs/>
          <w:color w:val="2E2E2E"/>
          <w:sz w:val="36"/>
          <w:szCs w:val="36"/>
          <w:lang w:val="en-US" w:eastAsia="ru-RU"/>
        </w:rPr>
      </w:pPr>
      <w:r w:rsidRPr="00476040">
        <w:rPr>
          <w:rFonts w:ascii="Arial" w:eastAsia="Times New Roman" w:hAnsi="Arial" w:cs="Arial"/>
          <w:b/>
          <w:bCs/>
          <w:color w:val="2E2E2E"/>
          <w:sz w:val="36"/>
          <w:szCs w:val="36"/>
          <w:lang w:val="en-US" w:eastAsia="ru-RU"/>
        </w:rPr>
        <w:t>Section snippets</w:t>
      </w:r>
    </w:p>
    <w:p w:rsidR="00E86B26" w:rsidRPr="00476040" w:rsidRDefault="00E86B26" w:rsidP="00476040">
      <w:pPr>
        <w:spacing w:before="100" w:beforeAutospacing="1" w:after="100" w:afterAutospacing="1" w:line="240" w:lineRule="auto"/>
        <w:jc w:val="both"/>
        <w:outlineLvl w:val="1"/>
        <w:rPr>
          <w:rFonts w:ascii="Arial" w:eastAsia="Times New Roman" w:hAnsi="Arial" w:cs="Arial"/>
          <w:b/>
          <w:bCs/>
          <w:color w:val="2E2E2E"/>
          <w:sz w:val="36"/>
          <w:szCs w:val="36"/>
          <w:lang w:val="en-US" w:eastAsia="ru-RU"/>
        </w:rPr>
      </w:pPr>
      <w:r w:rsidRPr="00476040">
        <w:rPr>
          <w:rFonts w:ascii="Arial" w:eastAsia="Times New Roman" w:hAnsi="Arial" w:cs="Arial"/>
          <w:b/>
          <w:bCs/>
          <w:color w:val="2E2E2E"/>
          <w:sz w:val="36"/>
          <w:szCs w:val="36"/>
          <w:lang w:val="en-US" w:eastAsia="ru-RU"/>
        </w:rPr>
        <w:t>Study design</w:t>
      </w:r>
    </w:p>
    <w:p w:rsidR="00E86B26" w:rsidRPr="00E86B26" w:rsidRDefault="00E86B26" w:rsidP="00476040">
      <w:pPr>
        <w:spacing w:after="0" w:line="240" w:lineRule="auto"/>
        <w:jc w:val="both"/>
        <w:rPr>
          <w:rFonts w:ascii="Arial" w:eastAsia="Times New Roman" w:hAnsi="Arial" w:cs="Arial"/>
          <w:color w:val="2E2E2E"/>
          <w:sz w:val="30"/>
          <w:szCs w:val="30"/>
          <w:lang w:val="en-US" w:eastAsia="ru-RU"/>
        </w:rPr>
      </w:pPr>
      <w:r w:rsidRPr="00E86B26">
        <w:rPr>
          <w:rFonts w:ascii="Arial" w:eastAsia="Times New Roman" w:hAnsi="Arial" w:cs="Arial"/>
          <w:color w:val="2E2E2E"/>
          <w:sz w:val="30"/>
          <w:szCs w:val="30"/>
          <w:lang w:val="en-US" w:eastAsia="ru-RU"/>
        </w:rPr>
        <w:t>The study was carried out on 30 white male rats in compliance with the Law of Ukraine of 21.02.2006 № 3447-IV “On protection of animals from abuse”. The animals were divided into 3 groups: intact rats, MSG- and MSG + nCeO</w:t>
      </w:r>
      <w:r w:rsidRPr="00E86B26">
        <w:rPr>
          <w:rFonts w:ascii="Arial" w:eastAsia="Times New Roman" w:hAnsi="Arial" w:cs="Arial"/>
          <w:color w:val="2E2E2E"/>
          <w:sz w:val="18"/>
          <w:szCs w:val="18"/>
          <w:vertAlign w:val="subscript"/>
          <w:lang w:val="en-US" w:eastAsia="ru-RU"/>
        </w:rPr>
        <w:t>2</w:t>
      </w:r>
      <w:r w:rsidRPr="00E86B26">
        <w:rPr>
          <w:rFonts w:ascii="Arial" w:eastAsia="Times New Roman" w:hAnsi="Arial" w:cs="Arial"/>
          <w:color w:val="2E2E2E"/>
          <w:sz w:val="30"/>
          <w:szCs w:val="30"/>
          <w:lang w:val="en-US" w:eastAsia="ru-RU"/>
        </w:rPr>
        <w:t> groups. MSG- and MSG + nCeO</w:t>
      </w:r>
      <w:r w:rsidRPr="00E86B26">
        <w:rPr>
          <w:rFonts w:ascii="Arial" w:eastAsia="Times New Roman" w:hAnsi="Arial" w:cs="Arial"/>
          <w:color w:val="2E2E2E"/>
          <w:sz w:val="18"/>
          <w:szCs w:val="18"/>
          <w:vertAlign w:val="subscript"/>
          <w:lang w:val="en-US" w:eastAsia="ru-RU"/>
        </w:rPr>
        <w:t>2</w:t>
      </w:r>
      <w:r w:rsidRPr="00E86B26">
        <w:rPr>
          <w:rFonts w:ascii="Arial" w:eastAsia="Times New Roman" w:hAnsi="Arial" w:cs="Arial"/>
          <w:color w:val="2E2E2E"/>
          <w:sz w:val="30"/>
          <w:szCs w:val="30"/>
          <w:lang w:val="en-US" w:eastAsia="ru-RU"/>
        </w:rPr>
        <w:t> groups were subjected to obesity development through the neonatal administration of MSG. The obesogenic dose of MSG was 4 mg/g dissolved in water for injection at volume of 8 </w:t>
      </w:r>
      <w:r w:rsidRPr="00E86B26">
        <w:rPr>
          <w:rFonts w:ascii="Arial" w:eastAsia="Times New Roman" w:hAnsi="Arial" w:cs="Arial"/>
          <w:color w:val="2E2E2E"/>
          <w:sz w:val="30"/>
          <w:szCs w:val="30"/>
          <w:lang w:eastAsia="ru-RU"/>
        </w:rPr>
        <w:t>μ</w:t>
      </w:r>
      <w:r w:rsidRPr="00E86B26">
        <w:rPr>
          <w:rFonts w:ascii="Arial" w:eastAsia="Times New Roman" w:hAnsi="Arial" w:cs="Arial"/>
          <w:color w:val="2E2E2E"/>
          <w:sz w:val="30"/>
          <w:szCs w:val="30"/>
          <w:lang w:val="en-US" w:eastAsia="ru-RU"/>
        </w:rPr>
        <w:t>l/g [19]. The subcutaneous administrations were done at 2nd, 4th, 6th, 8th,</w:t>
      </w:r>
    </w:p>
    <w:p w:rsidR="00E86B26" w:rsidRPr="00476040" w:rsidRDefault="00E86B26" w:rsidP="00476040">
      <w:pPr>
        <w:spacing w:before="100" w:beforeAutospacing="1" w:after="100" w:afterAutospacing="1" w:line="240" w:lineRule="auto"/>
        <w:jc w:val="both"/>
        <w:outlineLvl w:val="1"/>
        <w:rPr>
          <w:rFonts w:ascii="Arial" w:eastAsia="Times New Roman" w:hAnsi="Arial" w:cs="Arial"/>
          <w:b/>
          <w:bCs/>
          <w:color w:val="2E2E2E"/>
          <w:sz w:val="36"/>
          <w:szCs w:val="36"/>
          <w:lang w:val="en-US" w:eastAsia="ru-RU"/>
        </w:rPr>
      </w:pPr>
      <w:r w:rsidRPr="00476040">
        <w:rPr>
          <w:rFonts w:ascii="Arial" w:eastAsia="Times New Roman" w:hAnsi="Arial" w:cs="Arial"/>
          <w:b/>
          <w:bCs/>
          <w:color w:val="2E2E2E"/>
          <w:sz w:val="36"/>
          <w:szCs w:val="36"/>
          <w:lang w:val="en-US" w:eastAsia="ru-RU"/>
        </w:rPr>
        <w:t>Results</w:t>
      </w:r>
    </w:p>
    <w:p w:rsidR="00E86B26" w:rsidRPr="00E86B26" w:rsidRDefault="00E86B26" w:rsidP="00476040">
      <w:pPr>
        <w:spacing w:after="0" w:line="240" w:lineRule="auto"/>
        <w:jc w:val="both"/>
        <w:rPr>
          <w:rFonts w:ascii="Arial" w:eastAsia="Times New Roman" w:hAnsi="Arial" w:cs="Arial"/>
          <w:color w:val="2E2E2E"/>
          <w:sz w:val="30"/>
          <w:szCs w:val="30"/>
          <w:lang w:val="en-US" w:eastAsia="ru-RU"/>
        </w:rPr>
      </w:pPr>
      <w:r w:rsidRPr="00E86B26">
        <w:rPr>
          <w:rFonts w:ascii="Arial" w:eastAsia="Times New Roman" w:hAnsi="Arial" w:cs="Arial"/>
          <w:color w:val="2E2E2E"/>
          <w:sz w:val="30"/>
          <w:szCs w:val="30"/>
          <w:lang w:val="en-US" w:eastAsia="ru-RU"/>
        </w:rPr>
        <w:t xml:space="preserve">In our previous research we have shown the development of NAFLD as a result of MSG-induced obesity in 4-month aged rats with typical histological pattern: </w:t>
      </w:r>
      <w:proofErr w:type="spellStart"/>
      <w:r w:rsidRPr="00E86B26">
        <w:rPr>
          <w:rFonts w:ascii="Arial" w:eastAsia="Times New Roman" w:hAnsi="Arial" w:cs="Arial"/>
          <w:color w:val="2E2E2E"/>
          <w:sz w:val="30"/>
          <w:szCs w:val="30"/>
          <w:lang w:val="en-US" w:eastAsia="ru-RU"/>
        </w:rPr>
        <w:t>microvesicular</w:t>
      </w:r>
      <w:proofErr w:type="spellEnd"/>
      <w:r w:rsidRPr="00E86B26">
        <w:rPr>
          <w:rFonts w:ascii="Arial" w:eastAsia="Times New Roman" w:hAnsi="Arial" w:cs="Arial"/>
          <w:color w:val="2E2E2E"/>
          <w:sz w:val="30"/>
          <w:szCs w:val="30"/>
          <w:lang w:val="en-US" w:eastAsia="ru-RU"/>
        </w:rPr>
        <w:t xml:space="preserve"> steatosis (Fig. 1A), lobular inflammation (Fig. 1B) and ballooning degeneration (Fig. 1C) [11]. The intermittent administration of nCeO</w:t>
      </w:r>
      <w:r w:rsidRPr="00E86B26">
        <w:rPr>
          <w:rFonts w:ascii="Arial" w:eastAsia="Times New Roman" w:hAnsi="Arial" w:cs="Arial"/>
          <w:color w:val="2E2E2E"/>
          <w:sz w:val="18"/>
          <w:szCs w:val="18"/>
          <w:vertAlign w:val="subscript"/>
          <w:lang w:val="en-US" w:eastAsia="ru-RU"/>
        </w:rPr>
        <w:t>2</w:t>
      </w:r>
      <w:r w:rsidRPr="00E86B26">
        <w:rPr>
          <w:rFonts w:ascii="Arial" w:eastAsia="Times New Roman" w:hAnsi="Arial" w:cs="Arial"/>
          <w:color w:val="2E2E2E"/>
          <w:sz w:val="30"/>
          <w:szCs w:val="30"/>
          <w:lang w:val="en-US" w:eastAsia="ru-RU"/>
        </w:rPr>
        <w:t> prevented the liver damage and led to more pronounced reduction of hepatic steatosis and lobular inflammation (Fig. 1D–F). These histological findings were accompanied with reduction of total</w:t>
      </w:r>
    </w:p>
    <w:p w:rsidR="00E86B26" w:rsidRPr="00E86B26" w:rsidRDefault="00E86B26" w:rsidP="00476040">
      <w:pPr>
        <w:spacing w:before="100" w:beforeAutospacing="1" w:after="100" w:afterAutospacing="1" w:line="240" w:lineRule="auto"/>
        <w:jc w:val="both"/>
        <w:outlineLvl w:val="1"/>
        <w:rPr>
          <w:rFonts w:ascii="Arial" w:eastAsia="Times New Roman" w:hAnsi="Arial" w:cs="Arial"/>
          <w:b/>
          <w:bCs/>
          <w:color w:val="2E2E2E"/>
          <w:sz w:val="36"/>
          <w:szCs w:val="36"/>
          <w:lang w:val="en-US" w:eastAsia="ru-RU"/>
        </w:rPr>
      </w:pPr>
      <w:r w:rsidRPr="00E86B26">
        <w:rPr>
          <w:rFonts w:ascii="Arial" w:eastAsia="Times New Roman" w:hAnsi="Arial" w:cs="Arial"/>
          <w:b/>
          <w:bCs/>
          <w:color w:val="2E2E2E"/>
          <w:sz w:val="36"/>
          <w:szCs w:val="36"/>
          <w:lang w:val="en-US" w:eastAsia="ru-RU"/>
        </w:rPr>
        <w:lastRenderedPageBreak/>
        <w:t>Discussion</w:t>
      </w:r>
    </w:p>
    <w:p w:rsidR="00E86B26" w:rsidRPr="00E86B26" w:rsidRDefault="00E86B26" w:rsidP="00476040">
      <w:pPr>
        <w:spacing w:after="0" w:line="240" w:lineRule="auto"/>
        <w:jc w:val="both"/>
        <w:rPr>
          <w:rFonts w:ascii="Arial" w:eastAsia="Times New Roman" w:hAnsi="Arial" w:cs="Arial"/>
          <w:color w:val="2E2E2E"/>
          <w:sz w:val="30"/>
          <w:szCs w:val="30"/>
          <w:lang w:val="en-US" w:eastAsia="ru-RU"/>
        </w:rPr>
      </w:pPr>
      <w:r w:rsidRPr="00E86B26">
        <w:rPr>
          <w:rFonts w:ascii="Arial" w:eastAsia="Times New Roman" w:hAnsi="Arial" w:cs="Arial"/>
          <w:color w:val="2E2E2E"/>
          <w:sz w:val="30"/>
          <w:szCs w:val="30"/>
          <w:lang w:val="en-US" w:eastAsia="ru-RU"/>
        </w:rPr>
        <w:t>In this paper, we examined the influence of short courses of nCeO</w:t>
      </w:r>
      <w:r w:rsidRPr="00E86B26">
        <w:rPr>
          <w:rFonts w:ascii="Arial" w:eastAsia="Times New Roman" w:hAnsi="Arial" w:cs="Arial"/>
          <w:color w:val="2E2E2E"/>
          <w:sz w:val="18"/>
          <w:szCs w:val="18"/>
          <w:vertAlign w:val="subscript"/>
          <w:lang w:val="en-US" w:eastAsia="ru-RU"/>
        </w:rPr>
        <w:t>2</w:t>
      </w:r>
      <w:r w:rsidRPr="00E86B26">
        <w:rPr>
          <w:rFonts w:ascii="Arial" w:eastAsia="Times New Roman" w:hAnsi="Arial" w:cs="Arial"/>
          <w:color w:val="2E2E2E"/>
          <w:sz w:val="30"/>
          <w:szCs w:val="30"/>
          <w:lang w:val="en-US" w:eastAsia="ru-RU"/>
        </w:rPr>
        <w:t> administration on the experimental obesity development, NAFLD, and concomitant inflammatory processes in rats. The numbers of works prove that NAFLD is accompanied with the severe inflammation in liver and other sites of organism [12], [13], [14], [15], [25]. This is evident because of the strong increase of the pro-inflammatory cytokines content. In our study of experimental NAFLD we registered the increase of IL-1</w:t>
      </w:r>
      <w:r w:rsidRPr="00E86B26">
        <w:rPr>
          <w:rFonts w:ascii="Arial" w:eastAsia="Times New Roman" w:hAnsi="Arial" w:cs="Arial"/>
          <w:color w:val="2E2E2E"/>
          <w:sz w:val="30"/>
          <w:szCs w:val="30"/>
          <w:lang w:eastAsia="ru-RU"/>
        </w:rPr>
        <w:t>β</w:t>
      </w:r>
      <w:r w:rsidRPr="00E86B26">
        <w:rPr>
          <w:rFonts w:ascii="Arial" w:eastAsia="Times New Roman" w:hAnsi="Arial" w:cs="Arial"/>
          <w:color w:val="2E2E2E"/>
          <w:sz w:val="30"/>
          <w:szCs w:val="30"/>
          <w:lang w:val="en-US" w:eastAsia="ru-RU"/>
        </w:rPr>
        <w:t xml:space="preserve"> and IL–12 B</w:t>
      </w:r>
    </w:p>
    <w:p w:rsidR="00E86B26" w:rsidRPr="00E86B26" w:rsidRDefault="00E86B26" w:rsidP="00476040">
      <w:pPr>
        <w:spacing w:before="100" w:beforeAutospacing="1" w:after="100" w:afterAutospacing="1" w:line="240" w:lineRule="auto"/>
        <w:jc w:val="both"/>
        <w:outlineLvl w:val="1"/>
        <w:rPr>
          <w:rFonts w:ascii="Arial" w:eastAsia="Times New Roman" w:hAnsi="Arial" w:cs="Arial"/>
          <w:b/>
          <w:bCs/>
          <w:color w:val="2E2E2E"/>
          <w:sz w:val="36"/>
          <w:szCs w:val="36"/>
          <w:lang w:val="en-US" w:eastAsia="ru-RU"/>
        </w:rPr>
      </w:pPr>
      <w:r w:rsidRPr="00E86B26">
        <w:rPr>
          <w:rFonts w:ascii="Arial" w:eastAsia="Times New Roman" w:hAnsi="Arial" w:cs="Arial"/>
          <w:b/>
          <w:bCs/>
          <w:color w:val="2E2E2E"/>
          <w:sz w:val="36"/>
          <w:szCs w:val="36"/>
          <w:lang w:val="en-US" w:eastAsia="ru-RU"/>
        </w:rPr>
        <w:t>Conclusion</w:t>
      </w:r>
    </w:p>
    <w:p w:rsidR="00E86B26" w:rsidRDefault="00E86B26" w:rsidP="00476040">
      <w:pPr>
        <w:spacing w:after="240" w:line="240" w:lineRule="auto"/>
        <w:jc w:val="both"/>
        <w:rPr>
          <w:rFonts w:ascii="Arial" w:eastAsia="Times New Roman" w:hAnsi="Arial" w:cs="Arial"/>
          <w:color w:val="2E2E2E"/>
          <w:sz w:val="30"/>
          <w:szCs w:val="30"/>
          <w:lang w:val="en-US" w:eastAsia="ru-RU"/>
        </w:rPr>
      </w:pPr>
      <w:proofErr w:type="spellStart"/>
      <w:r w:rsidRPr="00E86B26">
        <w:rPr>
          <w:rFonts w:ascii="Arial" w:eastAsia="Times New Roman" w:hAnsi="Arial" w:cs="Arial"/>
          <w:color w:val="2E2E2E"/>
          <w:sz w:val="30"/>
          <w:szCs w:val="30"/>
          <w:lang w:val="en-US" w:eastAsia="ru-RU"/>
        </w:rPr>
        <w:t>Nanocrystalline</w:t>
      </w:r>
      <w:proofErr w:type="spellEnd"/>
      <w:r w:rsidRPr="00E86B26">
        <w:rPr>
          <w:rFonts w:ascii="Arial" w:eastAsia="Times New Roman" w:hAnsi="Arial" w:cs="Arial"/>
          <w:color w:val="2E2E2E"/>
          <w:sz w:val="30"/>
          <w:szCs w:val="30"/>
          <w:lang w:val="en-US" w:eastAsia="ru-RU"/>
        </w:rPr>
        <w:t xml:space="preserve"> cerium dioxide attenuates the inflammatory processes in rat blood that can prevent obesity complications and liver injury. Antioxidant action may be one of the mechanisms of such effect of studied substance.</w:t>
      </w:r>
    </w:p>
    <w:p w:rsidR="006B3E90" w:rsidRDefault="006B3E90" w:rsidP="00476040">
      <w:pPr>
        <w:spacing w:after="240" w:line="240" w:lineRule="auto"/>
        <w:jc w:val="both"/>
        <w:rPr>
          <w:rFonts w:ascii="Arial" w:eastAsia="Times New Roman" w:hAnsi="Arial" w:cs="Arial"/>
          <w:color w:val="2E2E2E"/>
          <w:sz w:val="30"/>
          <w:szCs w:val="30"/>
          <w:lang w:val="en-US" w:eastAsia="ru-RU"/>
        </w:rPr>
      </w:pPr>
    </w:p>
    <w:p w:rsidR="006B3E90" w:rsidRDefault="006B3E90" w:rsidP="00476040">
      <w:pPr>
        <w:spacing w:after="240" w:line="240" w:lineRule="auto"/>
        <w:jc w:val="both"/>
        <w:rPr>
          <w:rFonts w:ascii="Arial" w:eastAsia="Times New Roman" w:hAnsi="Arial" w:cs="Arial"/>
          <w:color w:val="2E2E2E"/>
          <w:sz w:val="30"/>
          <w:szCs w:val="30"/>
          <w:lang w:val="en-US" w:eastAsia="ru-RU"/>
        </w:rPr>
      </w:pPr>
    </w:p>
    <w:p w:rsidR="006B3E90" w:rsidRPr="006B3E90" w:rsidRDefault="00AB3A01" w:rsidP="006B3E90">
      <w:pPr>
        <w:rPr>
          <w:lang w:val="en-US"/>
        </w:rPr>
      </w:pPr>
      <w:hyperlink r:id="rId15" w:history="1">
        <w:r w:rsidR="006B3E90" w:rsidRPr="006B3E90">
          <w:rPr>
            <w:rStyle w:val="a3"/>
            <w:lang w:val="en-US"/>
          </w:rPr>
          <w:t>https://www.sciencedirect.com/getaccess/pii/S0753332216326932/purchase</w:t>
        </w:r>
      </w:hyperlink>
    </w:p>
    <w:p w:rsidR="006B3E90" w:rsidRPr="006B3E90" w:rsidRDefault="006B3E90" w:rsidP="006B3E90">
      <w:pPr>
        <w:rPr>
          <w:lang w:val="en-US"/>
        </w:rPr>
      </w:pPr>
    </w:p>
    <w:p w:rsidR="006B3E90" w:rsidRDefault="006B3E90" w:rsidP="006B3E90">
      <w:r>
        <w:rPr>
          <w:noProof/>
          <w:lang w:eastAsia="ru-RU"/>
        </w:rPr>
        <w:drawing>
          <wp:inline distT="0" distB="0" distL="0" distR="0" wp14:anchorId="0B21749D" wp14:editId="1D834F14">
            <wp:extent cx="5940425" cy="334137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3341370"/>
                    </a:xfrm>
                    <a:prstGeom prst="rect">
                      <a:avLst/>
                    </a:prstGeom>
                  </pic:spPr>
                </pic:pic>
              </a:graphicData>
            </a:graphic>
          </wp:inline>
        </w:drawing>
      </w:r>
    </w:p>
    <w:p w:rsidR="006B3E90" w:rsidRDefault="006B3E90" w:rsidP="006B3E90"/>
    <w:p w:rsidR="006B3E90" w:rsidRPr="00E86B26" w:rsidRDefault="006B3E90" w:rsidP="00476040">
      <w:pPr>
        <w:spacing w:after="240" w:line="240" w:lineRule="auto"/>
        <w:jc w:val="both"/>
        <w:rPr>
          <w:rFonts w:ascii="Arial" w:eastAsia="Times New Roman" w:hAnsi="Arial" w:cs="Arial"/>
          <w:color w:val="2E2E2E"/>
          <w:sz w:val="30"/>
          <w:szCs w:val="30"/>
          <w:lang w:val="en-US" w:eastAsia="ru-RU"/>
        </w:rPr>
      </w:pPr>
    </w:p>
    <w:sectPr w:rsidR="006B3E90" w:rsidRPr="00E86B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EF6"/>
    <w:rsid w:val="00020EF6"/>
    <w:rsid w:val="000553EA"/>
    <w:rsid w:val="00476040"/>
    <w:rsid w:val="006B3E90"/>
    <w:rsid w:val="007479D1"/>
    <w:rsid w:val="00AB3A01"/>
    <w:rsid w:val="00E137BB"/>
    <w:rsid w:val="00E676AA"/>
    <w:rsid w:val="00E86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F1C5D"/>
  <w15:chartTrackingRefBased/>
  <w15:docId w15:val="{6EAD297B-31BE-44F1-9158-68F275798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86B26"/>
    <w:rPr>
      <w:color w:val="0563C1" w:themeColor="hyperlink"/>
      <w:u w:val="single"/>
    </w:rPr>
  </w:style>
  <w:style w:type="paragraph" w:styleId="a4">
    <w:name w:val="Balloon Text"/>
    <w:basedOn w:val="a"/>
    <w:link w:val="a5"/>
    <w:uiPriority w:val="99"/>
    <w:semiHidden/>
    <w:unhideWhenUsed/>
    <w:rsid w:val="00AB3A0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B3A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4221108">
      <w:bodyDiv w:val="1"/>
      <w:marLeft w:val="0"/>
      <w:marRight w:val="0"/>
      <w:marTop w:val="0"/>
      <w:marBottom w:val="0"/>
      <w:divBdr>
        <w:top w:val="none" w:sz="0" w:space="0" w:color="auto"/>
        <w:left w:val="none" w:sz="0" w:space="0" w:color="auto"/>
        <w:bottom w:val="none" w:sz="0" w:space="0" w:color="auto"/>
        <w:right w:val="none" w:sz="0" w:space="0" w:color="auto"/>
      </w:divBdr>
      <w:divsChild>
        <w:div w:id="370500250">
          <w:marLeft w:val="0"/>
          <w:marRight w:val="0"/>
          <w:marTop w:val="0"/>
          <w:marBottom w:val="0"/>
          <w:divBdr>
            <w:top w:val="none" w:sz="0" w:space="0" w:color="auto"/>
            <w:left w:val="none" w:sz="0" w:space="0" w:color="auto"/>
            <w:bottom w:val="none" w:sz="0" w:space="0" w:color="auto"/>
            <w:right w:val="none" w:sz="0" w:space="0" w:color="auto"/>
          </w:divBdr>
          <w:divsChild>
            <w:div w:id="1004014403">
              <w:marLeft w:val="0"/>
              <w:marRight w:val="0"/>
              <w:marTop w:val="0"/>
              <w:marBottom w:val="0"/>
              <w:divBdr>
                <w:top w:val="none" w:sz="0" w:space="0" w:color="auto"/>
                <w:left w:val="none" w:sz="0" w:space="0" w:color="auto"/>
                <w:bottom w:val="none" w:sz="0" w:space="0" w:color="auto"/>
                <w:right w:val="none" w:sz="0" w:space="0" w:color="auto"/>
              </w:divBdr>
            </w:div>
            <w:div w:id="1226600653">
              <w:marLeft w:val="0"/>
              <w:marRight w:val="0"/>
              <w:marTop w:val="100"/>
              <w:marBottom w:val="100"/>
              <w:divBdr>
                <w:top w:val="none" w:sz="0" w:space="0" w:color="auto"/>
                <w:left w:val="none" w:sz="0" w:space="0" w:color="auto"/>
                <w:bottom w:val="none" w:sz="0" w:space="0" w:color="auto"/>
                <w:right w:val="none" w:sz="0" w:space="0" w:color="auto"/>
              </w:divBdr>
              <w:divsChild>
                <w:div w:id="23096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83558">
          <w:marLeft w:val="0"/>
          <w:marRight w:val="0"/>
          <w:marTop w:val="0"/>
          <w:marBottom w:val="0"/>
          <w:divBdr>
            <w:top w:val="none" w:sz="0" w:space="0" w:color="auto"/>
            <w:left w:val="none" w:sz="0" w:space="0" w:color="auto"/>
            <w:bottom w:val="none" w:sz="0" w:space="0" w:color="auto"/>
            <w:right w:val="none" w:sz="0" w:space="0" w:color="auto"/>
          </w:divBdr>
        </w:div>
        <w:div w:id="661588851">
          <w:marLeft w:val="0"/>
          <w:marRight w:val="0"/>
          <w:marTop w:val="0"/>
          <w:marBottom w:val="120"/>
          <w:divBdr>
            <w:top w:val="none" w:sz="0" w:space="0" w:color="auto"/>
            <w:left w:val="none" w:sz="0" w:space="0" w:color="auto"/>
            <w:bottom w:val="none" w:sz="0" w:space="0" w:color="auto"/>
            <w:right w:val="none" w:sz="0" w:space="0" w:color="auto"/>
          </w:divBdr>
          <w:divsChild>
            <w:div w:id="1215434706">
              <w:marLeft w:val="0"/>
              <w:marRight w:val="0"/>
              <w:marTop w:val="0"/>
              <w:marBottom w:val="0"/>
              <w:divBdr>
                <w:top w:val="none" w:sz="0" w:space="0" w:color="auto"/>
                <w:left w:val="none" w:sz="0" w:space="0" w:color="auto"/>
                <w:bottom w:val="none" w:sz="0" w:space="0" w:color="auto"/>
                <w:right w:val="none" w:sz="0" w:space="0" w:color="auto"/>
              </w:divBdr>
              <w:divsChild>
                <w:div w:id="551888544">
                  <w:marLeft w:val="0"/>
                  <w:marRight w:val="0"/>
                  <w:marTop w:val="0"/>
                  <w:marBottom w:val="0"/>
                  <w:divBdr>
                    <w:top w:val="none" w:sz="0" w:space="0" w:color="auto"/>
                    <w:left w:val="none" w:sz="0" w:space="0" w:color="auto"/>
                    <w:bottom w:val="none" w:sz="0" w:space="0" w:color="auto"/>
                    <w:right w:val="none" w:sz="0" w:space="0" w:color="auto"/>
                  </w:divBdr>
                  <w:divsChild>
                    <w:div w:id="176255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58158">
              <w:marLeft w:val="0"/>
              <w:marRight w:val="0"/>
              <w:marTop w:val="0"/>
              <w:marBottom w:val="0"/>
              <w:divBdr>
                <w:top w:val="none" w:sz="0" w:space="0" w:color="auto"/>
                <w:left w:val="none" w:sz="0" w:space="0" w:color="auto"/>
                <w:bottom w:val="single" w:sz="6" w:space="0" w:color="000000"/>
                <w:right w:val="none" w:sz="0" w:space="0" w:color="auto"/>
              </w:divBdr>
              <w:divsChild>
                <w:div w:id="602150444">
                  <w:marLeft w:val="0"/>
                  <w:marRight w:val="0"/>
                  <w:marTop w:val="0"/>
                  <w:marBottom w:val="0"/>
                  <w:divBdr>
                    <w:top w:val="none" w:sz="0" w:space="0" w:color="auto"/>
                    <w:left w:val="none" w:sz="0" w:space="0" w:color="auto"/>
                    <w:bottom w:val="none" w:sz="0" w:space="0" w:color="auto"/>
                    <w:right w:val="none" w:sz="0" w:space="0" w:color="auto"/>
                  </w:divBdr>
                  <w:divsChild>
                    <w:div w:id="409231741">
                      <w:marLeft w:val="0"/>
                      <w:marRight w:val="0"/>
                      <w:marTop w:val="0"/>
                      <w:marBottom w:val="0"/>
                      <w:divBdr>
                        <w:top w:val="none" w:sz="0" w:space="0" w:color="auto"/>
                        <w:left w:val="none" w:sz="0" w:space="0" w:color="auto"/>
                        <w:bottom w:val="none" w:sz="0" w:space="0" w:color="auto"/>
                        <w:right w:val="none" w:sz="0" w:space="0" w:color="auto"/>
                      </w:divBdr>
                      <w:divsChild>
                        <w:div w:id="208217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965520">
                  <w:marLeft w:val="0"/>
                  <w:marRight w:val="0"/>
                  <w:marTop w:val="0"/>
                  <w:marBottom w:val="0"/>
                  <w:divBdr>
                    <w:top w:val="none" w:sz="0" w:space="0" w:color="auto"/>
                    <w:left w:val="none" w:sz="0" w:space="0" w:color="auto"/>
                    <w:bottom w:val="none" w:sz="0" w:space="0" w:color="auto"/>
                    <w:right w:val="none" w:sz="0" w:space="0" w:color="auto"/>
                  </w:divBdr>
                  <w:divsChild>
                    <w:div w:id="1383165318">
                      <w:marLeft w:val="0"/>
                      <w:marRight w:val="0"/>
                      <w:marTop w:val="0"/>
                      <w:marBottom w:val="0"/>
                      <w:divBdr>
                        <w:top w:val="none" w:sz="0" w:space="0" w:color="auto"/>
                        <w:left w:val="none" w:sz="0" w:space="0" w:color="auto"/>
                        <w:bottom w:val="none" w:sz="0" w:space="0" w:color="auto"/>
                        <w:right w:val="none" w:sz="0" w:space="0" w:color="auto"/>
                      </w:divBdr>
                      <w:divsChild>
                        <w:div w:id="86359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499131">
          <w:marLeft w:val="0"/>
          <w:marRight w:val="0"/>
          <w:marTop w:val="0"/>
          <w:marBottom w:val="0"/>
          <w:divBdr>
            <w:top w:val="none" w:sz="0" w:space="0" w:color="auto"/>
            <w:left w:val="none" w:sz="0" w:space="0" w:color="auto"/>
            <w:bottom w:val="none" w:sz="0" w:space="0" w:color="auto"/>
            <w:right w:val="none" w:sz="0" w:space="0" w:color="auto"/>
          </w:divBdr>
        </w:div>
        <w:div w:id="1050573334">
          <w:marLeft w:val="0"/>
          <w:marRight w:val="0"/>
          <w:marTop w:val="0"/>
          <w:marBottom w:val="0"/>
          <w:divBdr>
            <w:top w:val="none" w:sz="0" w:space="0" w:color="auto"/>
            <w:left w:val="none" w:sz="0" w:space="0" w:color="auto"/>
            <w:bottom w:val="none" w:sz="0" w:space="0" w:color="auto"/>
            <w:right w:val="none" w:sz="0" w:space="0" w:color="auto"/>
          </w:divBdr>
          <w:divsChild>
            <w:div w:id="187643222">
              <w:marLeft w:val="0"/>
              <w:marRight w:val="0"/>
              <w:marTop w:val="0"/>
              <w:marBottom w:val="0"/>
              <w:divBdr>
                <w:top w:val="none" w:sz="0" w:space="0" w:color="auto"/>
                <w:left w:val="none" w:sz="0" w:space="0" w:color="auto"/>
                <w:bottom w:val="none" w:sz="0" w:space="0" w:color="auto"/>
                <w:right w:val="none" w:sz="0" w:space="0" w:color="auto"/>
              </w:divBdr>
              <w:divsChild>
                <w:div w:id="1326399199">
                  <w:marLeft w:val="0"/>
                  <w:marRight w:val="0"/>
                  <w:marTop w:val="0"/>
                  <w:marBottom w:val="120"/>
                  <w:divBdr>
                    <w:top w:val="none" w:sz="0" w:space="0" w:color="auto"/>
                    <w:left w:val="none" w:sz="0" w:space="0" w:color="auto"/>
                    <w:bottom w:val="none" w:sz="0" w:space="0" w:color="auto"/>
                    <w:right w:val="none" w:sz="0" w:space="0" w:color="auto"/>
                  </w:divBdr>
                  <w:divsChild>
                    <w:div w:id="1820347437">
                      <w:marLeft w:val="0"/>
                      <w:marRight w:val="0"/>
                      <w:marTop w:val="0"/>
                      <w:marBottom w:val="0"/>
                      <w:divBdr>
                        <w:top w:val="none" w:sz="0" w:space="0" w:color="auto"/>
                        <w:left w:val="none" w:sz="0" w:space="0" w:color="auto"/>
                        <w:bottom w:val="none" w:sz="0" w:space="0" w:color="auto"/>
                        <w:right w:val="none" w:sz="0" w:space="0" w:color="auto"/>
                      </w:divBdr>
                    </w:div>
                    <w:div w:id="1891261839">
                      <w:marLeft w:val="0"/>
                      <w:marRight w:val="0"/>
                      <w:marTop w:val="0"/>
                      <w:marBottom w:val="0"/>
                      <w:divBdr>
                        <w:top w:val="none" w:sz="0" w:space="0" w:color="auto"/>
                        <w:left w:val="none" w:sz="0" w:space="0" w:color="auto"/>
                        <w:bottom w:val="none" w:sz="0" w:space="0" w:color="auto"/>
                        <w:right w:val="none" w:sz="0" w:space="0" w:color="auto"/>
                      </w:divBdr>
                    </w:div>
                    <w:div w:id="1769230435">
                      <w:marLeft w:val="0"/>
                      <w:marRight w:val="0"/>
                      <w:marTop w:val="0"/>
                      <w:marBottom w:val="0"/>
                      <w:divBdr>
                        <w:top w:val="none" w:sz="0" w:space="0" w:color="auto"/>
                        <w:left w:val="none" w:sz="0" w:space="0" w:color="auto"/>
                        <w:bottom w:val="none" w:sz="0" w:space="0" w:color="auto"/>
                        <w:right w:val="none" w:sz="0" w:space="0" w:color="auto"/>
                      </w:divBdr>
                    </w:div>
                    <w:div w:id="1190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6848">
          <w:marLeft w:val="0"/>
          <w:marRight w:val="0"/>
          <w:marTop w:val="0"/>
          <w:marBottom w:val="0"/>
          <w:divBdr>
            <w:top w:val="none" w:sz="0" w:space="0" w:color="auto"/>
            <w:left w:val="none" w:sz="0" w:space="0" w:color="auto"/>
            <w:bottom w:val="none" w:sz="0" w:space="0" w:color="auto"/>
            <w:right w:val="none" w:sz="0" w:space="0" w:color="auto"/>
          </w:divBdr>
          <w:divsChild>
            <w:div w:id="1437559199">
              <w:marLeft w:val="0"/>
              <w:marRight w:val="0"/>
              <w:marTop w:val="0"/>
              <w:marBottom w:val="0"/>
              <w:divBdr>
                <w:top w:val="none" w:sz="0" w:space="0" w:color="auto"/>
                <w:left w:val="none" w:sz="0" w:space="0" w:color="auto"/>
                <w:bottom w:val="none" w:sz="0" w:space="0" w:color="auto"/>
                <w:right w:val="none" w:sz="0" w:space="0" w:color="auto"/>
              </w:divBdr>
            </w:div>
          </w:divsChild>
        </w:div>
        <w:div w:id="1933589939">
          <w:marLeft w:val="0"/>
          <w:marRight w:val="0"/>
          <w:marTop w:val="0"/>
          <w:marBottom w:val="0"/>
          <w:divBdr>
            <w:top w:val="none" w:sz="0" w:space="0" w:color="auto"/>
            <w:left w:val="none" w:sz="0" w:space="0" w:color="auto"/>
            <w:bottom w:val="none" w:sz="0" w:space="0" w:color="auto"/>
            <w:right w:val="none" w:sz="0" w:space="0" w:color="auto"/>
          </w:divBdr>
          <w:divsChild>
            <w:div w:id="189415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100.copyright.com/AppDispatchServlet?publisherName=ELS&amp;contentID=S0753332216326932&amp;orderBeanReset=true" TargetMode="External"/><Relationship Id="rId13" Type="http://schemas.openxmlformats.org/officeDocument/2006/relationships/hyperlink" Target="https://www.sciencedirect.com/topics/medicine-and-dentistry/cerium-oxide"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1016/j.biopha.2017.03.099" TargetMode="External"/><Relationship Id="rId12" Type="http://schemas.openxmlformats.org/officeDocument/2006/relationships/hyperlink" Target="https://www.sciencedirect.com/topics/pharmacology-toxicology-and-pharmaceutical-science/enzyme-linked-immunosorbent-assay"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2.png"/><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s://www.sciencedirect.com/topics/medicine-and-dentistry/carbohydrate-metabolism" TargetMode="External"/><Relationship Id="rId5" Type="http://schemas.openxmlformats.org/officeDocument/2006/relationships/hyperlink" Target="https://www.sciencedirect.com/journal/biomedicine-and-pharmacotherapy/vol/90/suppl/C" TargetMode="External"/><Relationship Id="rId15" Type="http://schemas.openxmlformats.org/officeDocument/2006/relationships/hyperlink" Target="https://www.sciencedirect.com/getaccess/pii/S0753332216326932/purchase" TargetMode="External"/><Relationship Id="rId10" Type="http://schemas.openxmlformats.org/officeDocument/2006/relationships/hyperlink" Target="https://www.sciencedirect.com/topics/medicine-and-dentistry/anthropometry" TargetMode="External"/><Relationship Id="rId4" Type="http://schemas.openxmlformats.org/officeDocument/2006/relationships/hyperlink" Target="https://www.sciencedirect.com/journal/biomedicine-and-pharmacotherapy" TargetMode="External"/><Relationship Id="rId9" Type="http://schemas.openxmlformats.org/officeDocument/2006/relationships/hyperlink" Target="https://www.sciencedirect.com/topics/medicine-and-dentistry/cerium-oxide" TargetMode="External"/><Relationship Id="rId14" Type="http://schemas.openxmlformats.org/officeDocument/2006/relationships/hyperlink" Target="https://www.sciencedirect.com/topics/medicine-and-dentistry/nanopartic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1252</Words>
  <Characters>7140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PC-2</cp:lastModifiedBy>
  <cp:revision>5</cp:revision>
  <cp:lastPrinted>2023-08-19T16:30:00Z</cp:lastPrinted>
  <dcterms:created xsi:type="dcterms:W3CDTF">2023-08-15T09:40:00Z</dcterms:created>
  <dcterms:modified xsi:type="dcterms:W3CDTF">2023-08-19T16:32:00Z</dcterms:modified>
</cp:coreProperties>
</file>